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B85" w:rsidRPr="00AD4AC5" w:rsidRDefault="00B86B85" w:rsidP="00671DB3">
      <w:pPr>
        <w:shd w:val="clear" w:color="auto" w:fill="FFFFFF" w:themeFill="background1"/>
        <w:spacing w:after="0"/>
        <w:jc w:val="center"/>
        <w:rPr>
          <w:rFonts w:ascii="Times New Roman" w:hAnsi="Times New Roman" w:cs="Times New Roman"/>
          <w:b/>
          <w:sz w:val="26"/>
          <w:szCs w:val="26"/>
          <w:lang w:val="ro-RO"/>
        </w:rPr>
      </w:pPr>
      <w:r w:rsidRPr="00AD4AC5">
        <w:rPr>
          <w:rFonts w:ascii="Times New Roman" w:hAnsi="Times New Roman" w:cs="Times New Roman"/>
          <w:b/>
          <w:sz w:val="26"/>
          <w:szCs w:val="26"/>
          <w:lang w:val="ro-RO"/>
        </w:rPr>
        <w:t>Notă de argumentare</w:t>
      </w:r>
    </w:p>
    <w:p w:rsidR="00BC69BD" w:rsidRDefault="00B86B85" w:rsidP="004207F0">
      <w:pPr>
        <w:spacing w:after="0"/>
        <w:jc w:val="center"/>
        <w:rPr>
          <w:rFonts w:ascii="Times New Roman" w:eastAsia="Times New Roman" w:hAnsi="Times New Roman" w:cs="Times New Roman"/>
          <w:b/>
          <w:sz w:val="26"/>
          <w:szCs w:val="26"/>
          <w:lang w:val="ro-RO"/>
        </w:rPr>
      </w:pPr>
      <w:r w:rsidRPr="00AD4AC5">
        <w:rPr>
          <w:rFonts w:ascii="Times New Roman" w:hAnsi="Times New Roman" w:cs="Times New Roman"/>
          <w:b/>
          <w:sz w:val="26"/>
          <w:szCs w:val="26"/>
          <w:lang w:val="ro-RO"/>
        </w:rPr>
        <w:t>cu privire la oportunitatea</w:t>
      </w:r>
      <w:r w:rsidR="004718A2" w:rsidRPr="00AD4AC5">
        <w:rPr>
          <w:rFonts w:ascii="Times New Roman" w:hAnsi="Times New Roman" w:cs="Times New Roman"/>
          <w:b/>
          <w:sz w:val="26"/>
          <w:szCs w:val="26"/>
          <w:lang w:val="ro-RO"/>
        </w:rPr>
        <w:t xml:space="preserve"> </w:t>
      </w:r>
      <w:r w:rsidR="004207F0">
        <w:rPr>
          <w:rFonts w:ascii="Times New Roman" w:hAnsi="Times New Roman" w:cs="Times New Roman"/>
          <w:b/>
          <w:sz w:val="26"/>
          <w:szCs w:val="26"/>
          <w:lang w:val="ro-RO"/>
        </w:rPr>
        <w:t>ratific</w:t>
      </w:r>
      <w:r w:rsidR="00AD4AC5">
        <w:rPr>
          <w:rFonts w:ascii="Times New Roman" w:hAnsi="Times New Roman" w:cs="Times New Roman"/>
          <w:b/>
          <w:sz w:val="26"/>
          <w:szCs w:val="26"/>
          <w:lang w:val="ro-RO"/>
        </w:rPr>
        <w:t>ării</w:t>
      </w:r>
      <w:r w:rsidR="00D247D2" w:rsidRPr="00AD4AC5">
        <w:rPr>
          <w:rFonts w:ascii="Times New Roman" w:hAnsi="Times New Roman" w:cs="Times New Roman"/>
          <w:b/>
          <w:sz w:val="26"/>
          <w:szCs w:val="26"/>
          <w:lang w:val="ro-RO"/>
        </w:rPr>
        <w:t xml:space="preserve"> </w:t>
      </w:r>
      <w:r w:rsidR="004718A2" w:rsidRPr="00AD4AC5">
        <w:rPr>
          <w:rFonts w:ascii="Times New Roman" w:eastAsia="Times New Roman" w:hAnsi="Times New Roman" w:cs="Times New Roman"/>
          <w:b/>
          <w:sz w:val="26"/>
          <w:szCs w:val="26"/>
          <w:lang w:val="ro-RO"/>
        </w:rPr>
        <w:t>Conven</w:t>
      </w:r>
      <w:r w:rsidR="004718A2" w:rsidRPr="00AD4AC5">
        <w:rPr>
          <w:rFonts w:ascii="Cambria Math" w:eastAsia="Times New Roman" w:hAnsi="Cambria Math" w:cs="Cambria Math"/>
          <w:b/>
          <w:sz w:val="26"/>
          <w:szCs w:val="26"/>
          <w:lang w:val="ro-RO"/>
        </w:rPr>
        <w:t>ț</w:t>
      </w:r>
      <w:r w:rsidR="004718A2" w:rsidRPr="00AD4AC5">
        <w:rPr>
          <w:rFonts w:ascii="Times New Roman" w:eastAsia="Times New Roman" w:hAnsi="Times New Roman" w:cs="Times New Roman"/>
          <w:b/>
          <w:sz w:val="26"/>
          <w:szCs w:val="26"/>
          <w:lang w:val="ro-RO"/>
        </w:rPr>
        <w:t>iei Consiliului Europei privind abordarea integrată a siguran</w:t>
      </w:r>
      <w:r w:rsidR="004718A2" w:rsidRPr="00AD4AC5">
        <w:rPr>
          <w:rFonts w:ascii="Cambria Math" w:eastAsia="Times New Roman" w:hAnsi="Cambria Math" w:cs="Cambria Math"/>
          <w:b/>
          <w:sz w:val="26"/>
          <w:szCs w:val="26"/>
          <w:lang w:val="ro-RO"/>
        </w:rPr>
        <w:t>ț</w:t>
      </w:r>
      <w:r w:rsidR="004718A2" w:rsidRPr="00AD4AC5">
        <w:rPr>
          <w:rFonts w:ascii="Times New Roman" w:eastAsia="Times New Roman" w:hAnsi="Times New Roman" w:cs="Times New Roman"/>
          <w:b/>
          <w:sz w:val="26"/>
          <w:szCs w:val="26"/>
          <w:lang w:val="ro-RO"/>
        </w:rPr>
        <w:t>ei, securită</w:t>
      </w:r>
      <w:r w:rsidR="004718A2" w:rsidRPr="00AD4AC5">
        <w:rPr>
          <w:rFonts w:ascii="Cambria Math" w:eastAsia="Times New Roman" w:hAnsi="Cambria Math" w:cs="Cambria Math"/>
          <w:b/>
          <w:sz w:val="26"/>
          <w:szCs w:val="26"/>
          <w:lang w:val="ro-RO"/>
        </w:rPr>
        <w:t>ț</w:t>
      </w:r>
      <w:r w:rsidR="004718A2" w:rsidRPr="00AD4AC5">
        <w:rPr>
          <w:rFonts w:ascii="Times New Roman" w:eastAsia="Times New Roman" w:hAnsi="Times New Roman" w:cs="Times New Roman"/>
          <w:b/>
          <w:sz w:val="26"/>
          <w:szCs w:val="26"/>
          <w:lang w:val="ro-RO"/>
        </w:rPr>
        <w:t xml:space="preserve">ii </w:t>
      </w:r>
      <w:r w:rsidR="004718A2" w:rsidRPr="00AD4AC5">
        <w:rPr>
          <w:rFonts w:ascii="Cambria Math" w:eastAsia="Times New Roman" w:hAnsi="Cambria Math" w:cs="Cambria Math"/>
          <w:b/>
          <w:sz w:val="26"/>
          <w:szCs w:val="26"/>
          <w:lang w:val="ro-RO"/>
        </w:rPr>
        <w:t>ș</w:t>
      </w:r>
      <w:r w:rsidR="004718A2" w:rsidRPr="00AD4AC5">
        <w:rPr>
          <w:rFonts w:ascii="Times New Roman" w:eastAsia="Times New Roman" w:hAnsi="Times New Roman" w:cs="Times New Roman"/>
          <w:b/>
          <w:sz w:val="26"/>
          <w:szCs w:val="26"/>
          <w:lang w:val="ro-RO"/>
        </w:rPr>
        <w:t xml:space="preserve">i deservirii în timpul meciurilor de fotbal </w:t>
      </w:r>
      <w:r w:rsidR="004718A2" w:rsidRPr="00AD4AC5">
        <w:rPr>
          <w:rFonts w:ascii="Cambria Math" w:eastAsia="Times New Roman" w:hAnsi="Cambria Math" w:cs="Cambria Math"/>
          <w:b/>
          <w:sz w:val="26"/>
          <w:szCs w:val="26"/>
          <w:lang w:val="ro-RO"/>
        </w:rPr>
        <w:t>ș</w:t>
      </w:r>
      <w:r w:rsidR="004718A2" w:rsidRPr="00AD4AC5">
        <w:rPr>
          <w:rFonts w:ascii="Times New Roman" w:eastAsia="Times New Roman" w:hAnsi="Times New Roman" w:cs="Times New Roman"/>
          <w:b/>
          <w:sz w:val="26"/>
          <w:szCs w:val="26"/>
          <w:lang w:val="ro-RO"/>
        </w:rPr>
        <w:t>i a altor evenimente sportive</w:t>
      </w:r>
    </w:p>
    <w:p w:rsidR="00026C5C" w:rsidRPr="00026C5C" w:rsidRDefault="00026C5C" w:rsidP="000B5910">
      <w:pPr>
        <w:spacing w:after="120"/>
        <w:jc w:val="center"/>
        <w:rPr>
          <w:rFonts w:ascii="Times New Roman" w:eastAsia="Times New Roman" w:hAnsi="Times New Roman" w:cs="Times New Roman"/>
          <w:b/>
          <w:sz w:val="26"/>
          <w:szCs w:val="26"/>
          <w:lang w:val="ro-RO"/>
        </w:rPr>
      </w:pPr>
    </w:p>
    <w:p w:rsidR="004566BE" w:rsidRPr="000B5910" w:rsidRDefault="004566BE" w:rsidP="000B5910">
      <w:pPr>
        <w:autoSpaceDE w:val="0"/>
        <w:autoSpaceDN w:val="0"/>
        <w:adjustRightInd w:val="0"/>
        <w:spacing w:after="120" w:line="240" w:lineRule="auto"/>
        <w:jc w:val="both"/>
        <w:rPr>
          <w:rFonts w:ascii="Times New Roman" w:hAnsi="Times New Roman" w:cs="Times New Roman"/>
          <w:b/>
          <w:sz w:val="24"/>
          <w:szCs w:val="24"/>
          <w:lang w:val="ro-RO"/>
        </w:rPr>
      </w:pPr>
      <w:r w:rsidRPr="000B5910">
        <w:rPr>
          <w:rFonts w:ascii="Times New Roman" w:hAnsi="Times New Roman" w:cs="Times New Roman"/>
          <w:b/>
          <w:sz w:val="24"/>
          <w:szCs w:val="24"/>
          <w:lang w:val="ro-RO"/>
        </w:rPr>
        <w:t>A. Descrierea tratatului</w:t>
      </w:r>
    </w:p>
    <w:p w:rsidR="00B86B85" w:rsidRPr="000B5910" w:rsidRDefault="00B86B85" w:rsidP="000B5910">
      <w:pPr>
        <w:autoSpaceDE w:val="0"/>
        <w:autoSpaceDN w:val="0"/>
        <w:adjustRightInd w:val="0"/>
        <w:spacing w:after="120" w:line="240" w:lineRule="auto"/>
        <w:jc w:val="both"/>
        <w:rPr>
          <w:rFonts w:ascii="Times New Roman" w:hAnsi="Times New Roman" w:cs="Times New Roman"/>
          <w:sz w:val="24"/>
          <w:szCs w:val="24"/>
          <w:lang w:val="ro-RO"/>
        </w:rPr>
      </w:pPr>
      <w:r w:rsidRPr="000B5910">
        <w:rPr>
          <w:rFonts w:ascii="Times New Roman" w:hAnsi="Times New Roman" w:cs="Times New Roman"/>
          <w:b/>
          <w:sz w:val="24"/>
          <w:szCs w:val="24"/>
          <w:lang w:val="ro-RO"/>
        </w:rPr>
        <w:t xml:space="preserve">Informaţii generale. </w:t>
      </w:r>
      <w:r w:rsidR="004718A2" w:rsidRPr="000B5910">
        <w:rPr>
          <w:rFonts w:ascii="Times New Roman" w:hAnsi="Times New Roman" w:cs="Times New Roman"/>
          <w:sz w:val="24"/>
          <w:szCs w:val="24"/>
          <w:lang w:val="ro-RO"/>
        </w:rPr>
        <w:t>Sportul este p</w:t>
      </w:r>
      <w:bookmarkStart w:id="0" w:name="_GoBack"/>
      <w:bookmarkEnd w:id="0"/>
      <w:r w:rsidR="004718A2" w:rsidRPr="000B5910">
        <w:rPr>
          <w:rFonts w:ascii="Times New Roman" w:hAnsi="Times New Roman" w:cs="Times New Roman"/>
          <w:sz w:val="24"/>
          <w:szCs w:val="24"/>
          <w:lang w:val="ro-RO"/>
        </w:rPr>
        <w:t xml:space="preserve">rincipala activitate </w:t>
      </w:r>
      <w:r w:rsidR="00671DB3" w:rsidRPr="000B5910">
        <w:rPr>
          <w:rFonts w:ascii="Times New Roman" w:hAnsi="Times New Roman" w:cs="Times New Roman"/>
          <w:sz w:val="24"/>
          <w:szCs w:val="24"/>
          <w:lang w:val="ro-RO"/>
        </w:rPr>
        <w:t>la nivel european</w:t>
      </w:r>
      <w:r w:rsidR="004718A2" w:rsidRPr="000B5910">
        <w:rPr>
          <w:rFonts w:ascii="Times New Roman" w:hAnsi="Times New Roman" w:cs="Times New Roman"/>
          <w:sz w:val="24"/>
          <w:szCs w:val="24"/>
          <w:lang w:val="ro-RO"/>
        </w:rPr>
        <w:t>, organizată pe o bază non-guvernamentală care atrage tot mai mulți spectatori și generează pasiuni și acțiuni cu tentă pozitivă cît și negativă, comparativ cu orice altă activitate. Sportul este, de asemenea, activitatea cea mai reflectată în presă și mass-media.</w:t>
      </w:r>
      <w:r w:rsidRPr="000B5910">
        <w:rPr>
          <w:rFonts w:ascii="Times New Roman" w:hAnsi="Times New Roman" w:cs="Times New Roman"/>
          <w:sz w:val="24"/>
          <w:szCs w:val="24"/>
          <w:lang w:val="ro-RO"/>
        </w:rPr>
        <w:t xml:space="preserve"> </w:t>
      </w:r>
    </w:p>
    <w:p w:rsidR="003B0483" w:rsidRPr="000B5910" w:rsidRDefault="004718A2" w:rsidP="000B5910">
      <w:pPr>
        <w:autoSpaceDE w:val="0"/>
        <w:autoSpaceDN w:val="0"/>
        <w:adjustRightInd w:val="0"/>
        <w:spacing w:after="120" w:line="240" w:lineRule="auto"/>
        <w:jc w:val="both"/>
        <w:rPr>
          <w:rFonts w:ascii="Times New Roman" w:hAnsi="Times New Roman" w:cs="Times New Roman"/>
          <w:sz w:val="24"/>
          <w:szCs w:val="24"/>
          <w:lang w:val="ro-RO"/>
        </w:rPr>
      </w:pPr>
      <w:r w:rsidRPr="000B5910">
        <w:rPr>
          <w:rFonts w:ascii="Times New Roman" w:hAnsi="Times New Roman" w:cs="Times New Roman"/>
          <w:sz w:val="24"/>
          <w:szCs w:val="24"/>
          <w:lang w:val="ro-RO"/>
        </w:rPr>
        <w:t>Incidentele de violență, dezordine publică și alte abateri disciplinare au fost mult timp asociate cu fotbalul, avînd cel mai mare număr de spectatori din l</w:t>
      </w:r>
      <w:r w:rsidR="00AD67E7" w:rsidRPr="000B5910">
        <w:rPr>
          <w:rFonts w:ascii="Times New Roman" w:hAnsi="Times New Roman" w:cs="Times New Roman"/>
          <w:sz w:val="24"/>
          <w:szCs w:val="24"/>
          <w:lang w:val="ro-RO"/>
        </w:rPr>
        <w:t>ume. Cu toate acestea, în anii `</w:t>
      </w:r>
      <w:r w:rsidRPr="000B5910">
        <w:rPr>
          <w:rFonts w:ascii="Times New Roman" w:hAnsi="Times New Roman" w:cs="Times New Roman"/>
          <w:sz w:val="24"/>
          <w:szCs w:val="24"/>
          <w:lang w:val="ro-RO"/>
        </w:rPr>
        <w:t xml:space="preserve">80, un număr </w:t>
      </w:r>
      <w:r w:rsidR="003B0483" w:rsidRPr="000B5910">
        <w:rPr>
          <w:rFonts w:ascii="Times New Roman" w:hAnsi="Times New Roman" w:cs="Times New Roman"/>
          <w:sz w:val="24"/>
          <w:szCs w:val="24"/>
          <w:lang w:val="ro-RO"/>
        </w:rPr>
        <w:t xml:space="preserve">impunător </w:t>
      </w:r>
      <w:r w:rsidRPr="000B5910">
        <w:rPr>
          <w:rFonts w:ascii="Times New Roman" w:hAnsi="Times New Roman" w:cs="Times New Roman"/>
          <w:sz w:val="24"/>
          <w:szCs w:val="24"/>
          <w:lang w:val="ro-RO"/>
        </w:rPr>
        <w:t>de incidente de violență și tulburări asociate cu meciurile internaționale de fotbal și turnee au demonstrat că așa-n</w:t>
      </w:r>
      <w:r w:rsidR="003B0483" w:rsidRPr="000B5910">
        <w:rPr>
          <w:rFonts w:ascii="Times New Roman" w:hAnsi="Times New Roman" w:cs="Times New Roman"/>
          <w:sz w:val="24"/>
          <w:szCs w:val="24"/>
          <w:lang w:val="ro-RO"/>
        </w:rPr>
        <w:t>umita problemă de "huliganism în</w:t>
      </w:r>
      <w:r w:rsidRPr="000B5910">
        <w:rPr>
          <w:rFonts w:ascii="Times New Roman" w:hAnsi="Times New Roman" w:cs="Times New Roman"/>
          <w:sz w:val="24"/>
          <w:szCs w:val="24"/>
          <w:lang w:val="ro-RO"/>
        </w:rPr>
        <w:t xml:space="preserve"> fotbal" a f</w:t>
      </w:r>
      <w:r w:rsidR="007D6CC4" w:rsidRPr="000B5910">
        <w:rPr>
          <w:rFonts w:ascii="Times New Roman" w:hAnsi="Times New Roman" w:cs="Times New Roman"/>
          <w:sz w:val="24"/>
          <w:szCs w:val="24"/>
          <w:lang w:val="ro-RO"/>
        </w:rPr>
        <w:t>ost un fenomen</w:t>
      </w:r>
      <w:r w:rsidRPr="000B5910">
        <w:rPr>
          <w:rFonts w:ascii="Times New Roman" w:hAnsi="Times New Roman" w:cs="Times New Roman"/>
          <w:sz w:val="24"/>
          <w:szCs w:val="24"/>
          <w:lang w:val="ro-RO"/>
        </w:rPr>
        <w:t xml:space="preserve"> care a necesitat un răspuns </w:t>
      </w:r>
      <w:r w:rsidR="003B0483" w:rsidRPr="000B5910">
        <w:rPr>
          <w:rFonts w:ascii="Times New Roman" w:hAnsi="Times New Roman" w:cs="Times New Roman"/>
          <w:sz w:val="24"/>
          <w:szCs w:val="24"/>
          <w:lang w:val="ro-RO"/>
        </w:rPr>
        <w:t>de la instituțiile europene,</w:t>
      </w:r>
      <w:r w:rsidRPr="000B5910">
        <w:rPr>
          <w:rFonts w:ascii="Times New Roman" w:hAnsi="Times New Roman" w:cs="Times New Roman"/>
          <w:sz w:val="24"/>
          <w:szCs w:val="24"/>
          <w:lang w:val="ro-RO"/>
        </w:rPr>
        <w:t xml:space="preserve"> </w:t>
      </w:r>
      <w:r w:rsidR="003B0483" w:rsidRPr="000B5910">
        <w:rPr>
          <w:rFonts w:ascii="Times New Roman" w:hAnsi="Times New Roman" w:cs="Times New Roman"/>
          <w:sz w:val="24"/>
          <w:szCs w:val="24"/>
          <w:lang w:val="ro-RO"/>
        </w:rPr>
        <w:t>și anume, Consiliul Europei</w:t>
      </w:r>
      <w:r w:rsidRPr="000B5910">
        <w:rPr>
          <w:rFonts w:ascii="Times New Roman" w:hAnsi="Times New Roman" w:cs="Times New Roman"/>
          <w:sz w:val="24"/>
          <w:szCs w:val="24"/>
          <w:lang w:val="ro-RO"/>
        </w:rPr>
        <w:t xml:space="preserve">. Provocarea pentru Consiliul Europei a </w:t>
      </w:r>
      <w:r w:rsidR="007D6CC4" w:rsidRPr="000B5910">
        <w:rPr>
          <w:rFonts w:ascii="Times New Roman" w:hAnsi="Times New Roman" w:cs="Times New Roman"/>
          <w:sz w:val="24"/>
          <w:szCs w:val="24"/>
          <w:lang w:val="ro-RO"/>
        </w:rPr>
        <w:t>fost, și rămî</w:t>
      </w:r>
      <w:r w:rsidR="003B0483" w:rsidRPr="000B5910">
        <w:rPr>
          <w:rFonts w:ascii="Times New Roman" w:hAnsi="Times New Roman" w:cs="Times New Roman"/>
          <w:sz w:val="24"/>
          <w:szCs w:val="24"/>
          <w:lang w:val="ro-RO"/>
        </w:rPr>
        <w:t>ne, cum să se răspî</w:t>
      </w:r>
      <w:r w:rsidRPr="000B5910">
        <w:rPr>
          <w:rFonts w:ascii="Times New Roman" w:hAnsi="Times New Roman" w:cs="Times New Roman"/>
          <w:sz w:val="24"/>
          <w:szCs w:val="24"/>
          <w:lang w:val="ro-RO"/>
        </w:rPr>
        <w:t>ndea</w:t>
      </w:r>
      <w:r w:rsidR="003B0483" w:rsidRPr="000B5910">
        <w:rPr>
          <w:rFonts w:ascii="Times New Roman" w:hAnsi="Times New Roman" w:cs="Times New Roman"/>
          <w:sz w:val="24"/>
          <w:szCs w:val="24"/>
          <w:lang w:val="ro-RO"/>
        </w:rPr>
        <w:t>scă valorile sale de bază în/</w:t>
      </w:r>
      <w:r w:rsidRPr="000B5910">
        <w:rPr>
          <w:rFonts w:ascii="Times New Roman" w:hAnsi="Times New Roman" w:cs="Times New Roman"/>
          <w:sz w:val="24"/>
          <w:szCs w:val="24"/>
          <w:lang w:val="ro-RO"/>
        </w:rPr>
        <w:t>prin sport</w:t>
      </w:r>
      <w:r w:rsidR="003B0483" w:rsidRPr="000B5910">
        <w:rPr>
          <w:rFonts w:ascii="Times New Roman" w:hAnsi="Times New Roman" w:cs="Times New Roman"/>
          <w:sz w:val="24"/>
          <w:szCs w:val="24"/>
          <w:lang w:val="ro-RO"/>
        </w:rPr>
        <w:t>,</w:t>
      </w:r>
      <w:r w:rsidRPr="000B5910">
        <w:rPr>
          <w:rFonts w:ascii="Times New Roman" w:hAnsi="Times New Roman" w:cs="Times New Roman"/>
          <w:sz w:val="24"/>
          <w:szCs w:val="24"/>
          <w:lang w:val="ro-RO"/>
        </w:rPr>
        <w:t xml:space="preserve"> în timp ce prevenirea și combaterea comportamentului (</w:t>
      </w:r>
      <w:r w:rsidR="007C2C42" w:rsidRPr="000B5910">
        <w:rPr>
          <w:rFonts w:ascii="Times New Roman" w:hAnsi="Times New Roman" w:cs="Times New Roman"/>
          <w:sz w:val="24"/>
          <w:szCs w:val="24"/>
          <w:lang w:val="ro-RO"/>
        </w:rPr>
        <w:t xml:space="preserve">de </w:t>
      </w:r>
      <w:r w:rsidRPr="000B5910">
        <w:rPr>
          <w:rFonts w:ascii="Times New Roman" w:hAnsi="Times New Roman" w:cs="Times New Roman"/>
          <w:sz w:val="24"/>
          <w:szCs w:val="24"/>
          <w:lang w:val="ro-RO"/>
        </w:rPr>
        <w:t xml:space="preserve">violență, dopaj, manipularea </w:t>
      </w:r>
      <w:r w:rsidR="003B0483" w:rsidRPr="000B5910">
        <w:rPr>
          <w:rFonts w:ascii="Times New Roman" w:hAnsi="Times New Roman" w:cs="Times New Roman"/>
          <w:sz w:val="24"/>
          <w:szCs w:val="24"/>
          <w:lang w:val="ro-RO"/>
        </w:rPr>
        <w:t>în competițiile sportive</w:t>
      </w:r>
      <w:r w:rsidR="007D6CC4" w:rsidRPr="000B5910">
        <w:rPr>
          <w:rFonts w:ascii="Times New Roman" w:hAnsi="Times New Roman" w:cs="Times New Roman"/>
          <w:sz w:val="24"/>
          <w:szCs w:val="24"/>
          <w:lang w:val="ro-RO"/>
        </w:rPr>
        <w:t>, etc.) care amenință</w:t>
      </w:r>
      <w:r w:rsidRPr="000B5910">
        <w:rPr>
          <w:rFonts w:ascii="Times New Roman" w:hAnsi="Times New Roman" w:cs="Times New Roman"/>
          <w:sz w:val="24"/>
          <w:szCs w:val="24"/>
          <w:lang w:val="ro-RO"/>
        </w:rPr>
        <w:t xml:space="preserve"> integritatea</w:t>
      </w:r>
      <w:r w:rsidR="003B0483" w:rsidRPr="000B5910">
        <w:rPr>
          <w:rFonts w:ascii="Times New Roman" w:hAnsi="Times New Roman" w:cs="Times New Roman"/>
          <w:sz w:val="24"/>
          <w:szCs w:val="24"/>
          <w:lang w:val="ro-RO"/>
        </w:rPr>
        <w:t xml:space="preserve"> în</w:t>
      </w:r>
      <w:r w:rsidRPr="000B5910">
        <w:rPr>
          <w:rFonts w:ascii="Times New Roman" w:hAnsi="Times New Roman" w:cs="Times New Roman"/>
          <w:sz w:val="24"/>
          <w:szCs w:val="24"/>
          <w:lang w:val="ro-RO"/>
        </w:rPr>
        <w:t xml:space="preserve"> f</w:t>
      </w:r>
      <w:r w:rsidR="003B0483" w:rsidRPr="000B5910">
        <w:rPr>
          <w:rFonts w:ascii="Times New Roman" w:hAnsi="Times New Roman" w:cs="Times New Roman"/>
          <w:sz w:val="24"/>
          <w:szCs w:val="24"/>
          <w:lang w:val="ro-RO"/>
        </w:rPr>
        <w:t>otbal, alte sporturi și comuni</w:t>
      </w:r>
      <w:r w:rsidRPr="000B5910">
        <w:rPr>
          <w:rFonts w:ascii="Times New Roman" w:hAnsi="Times New Roman" w:cs="Times New Roman"/>
          <w:sz w:val="24"/>
          <w:szCs w:val="24"/>
          <w:lang w:val="ro-RO"/>
        </w:rPr>
        <w:t>t</w:t>
      </w:r>
      <w:r w:rsidR="003B0483" w:rsidRPr="000B5910">
        <w:rPr>
          <w:rFonts w:ascii="Times New Roman" w:hAnsi="Times New Roman" w:cs="Times New Roman"/>
          <w:sz w:val="24"/>
          <w:szCs w:val="24"/>
          <w:lang w:val="ro-RO"/>
        </w:rPr>
        <w:t>ăți largi</w:t>
      </w:r>
      <w:r w:rsidRPr="000B5910">
        <w:rPr>
          <w:rFonts w:ascii="Times New Roman" w:hAnsi="Times New Roman" w:cs="Times New Roman"/>
          <w:sz w:val="24"/>
          <w:szCs w:val="24"/>
          <w:lang w:val="ro-RO"/>
        </w:rPr>
        <w:t>.</w:t>
      </w:r>
    </w:p>
    <w:p w:rsidR="003B0483" w:rsidRPr="000B5910" w:rsidRDefault="003B0483" w:rsidP="000B5910">
      <w:pPr>
        <w:autoSpaceDE w:val="0"/>
        <w:autoSpaceDN w:val="0"/>
        <w:adjustRightInd w:val="0"/>
        <w:spacing w:after="120" w:line="240" w:lineRule="auto"/>
        <w:jc w:val="both"/>
        <w:rPr>
          <w:rFonts w:ascii="Times New Roman" w:hAnsi="Times New Roman" w:cs="Times New Roman"/>
          <w:sz w:val="24"/>
          <w:szCs w:val="24"/>
          <w:lang w:val="ro-RO"/>
        </w:rPr>
      </w:pPr>
      <w:r w:rsidRPr="000B5910">
        <w:rPr>
          <w:rFonts w:ascii="Times New Roman" w:hAnsi="Times New Roman" w:cs="Times New Roman"/>
          <w:sz w:val="24"/>
          <w:szCs w:val="24"/>
          <w:lang w:val="ro-RO"/>
        </w:rPr>
        <w:t xml:space="preserve">În 1983, </w:t>
      </w:r>
      <w:r w:rsidR="00F20A54" w:rsidRPr="000B5910">
        <w:rPr>
          <w:rFonts w:ascii="Times New Roman" w:hAnsi="Times New Roman" w:cs="Times New Roman"/>
          <w:sz w:val="24"/>
          <w:szCs w:val="24"/>
          <w:lang w:val="ro-RO"/>
        </w:rPr>
        <w:t>Adunarea Parlamentară a elaborat</w:t>
      </w:r>
      <w:r w:rsidRPr="000B5910">
        <w:rPr>
          <w:rFonts w:ascii="Times New Roman" w:hAnsi="Times New Roman" w:cs="Times New Roman"/>
          <w:sz w:val="24"/>
          <w:szCs w:val="24"/>
          <w:lang w:val="ro-RO"/>
        </w:rPr>
        <w:t xml:space="preserve"> o recomandare, care a plasat prevenirea violenței în sport într-un cadru mai larg de măsuri de reducere a violenței în societate, și a cerut Comitetului Miniștrilor să pregătească o convenție europeană pentru a contracara acest fenomen.</w:t>
      </w:r>
    </w:p>
    <w:p w:rsidR="00B86B85" w:rsidRPr="000B5910" w:rsidRDefault="00B86B85" w:rsidP="000B5910">
      <w:pPr>
        <w:shd w:val="clear" w:color="auto" w:fill="FFFFFF" w:themeFill="background1"/>
        <w:spacing w:before="120" w:after="120" w:line="240" w:lineRule="auto"/>
        <w:jc w:val="both"/>
        <w:rPr>
          <w:rFonts w:ascii="Times New Roman" w:hAnsi="Times New Roman" w:cs="Times New Roman"/>
          <w:sz w:val="24"/>
          <w:szCs w:val="24"/>
          <w:lang w:val="ro-RO"/>
        </w:rPr>
      </w:pPr>
      <w:r w:rsidRPr="000B5910">
        <w:rPr>
          <w:rFonts w:ascii="Times New Roman" w:hAnsi="Times New Roman" w:cs="Times New Roman"/>
          <w:sz w:val="24"/>
          <w:szCs w:val="24"/>
          <w:lang w:val="ro-RO"/>
        </w:rPr>
        <w:t xml:space="preserve">Astfel, </w:t>
      </w:r>
      <w:r w:rsidR="007D6CC4" w:rsidRPr="000B5910">
        <w:rPr>
          <w:rFonts w:ascii="Times New Roman" w:hAnsi="Times New Roman" w:cs="Times New Roman"/>
          <w:sz w:val="24"/>
          <w:szCs w:val="24"/>
          <w:lang w:val="ro-RO"/>
        </w:rPr>
        <w:t>Comitetul de Miniştri al</w:t>
      </w:r>
      <w:r w:rsidRPr="000B5910">
        <w:rPr>
          <w:rFonts w:ascii="Times New Roman" w:hAnsi="Times New Roman" w:cs="Times New Roman"/>
          <w:sz w:val="24"/>
          <w:szCs w:val="24"/>
          <w:lang w:val="ro-RO"/>
        </w:rPr>
        <w:t xml:space="preserve"> Consiliului Europei la data de 19 august 1985 a adoptat Convenţia Europeană privind violenţa şi ieşirile necontrolate ale spectatorilor cu ocazia manifestărilor sportive, în special la meciurile de fotbal</w:t>
      </w:r>
      <w:r w:rsidR="0062462A" w:rsidRPr="000B5910">
        <w:rPr>
          <w:rFonts w:ascii="Times New Roman" w:hAnsi="Times New Roman" w:cs="Times New Roman"/>
          <w:sz w:val="24"/>
          <w:szCs w:val="24"/>
          <w:lang w:val="ro-RO"/>
        </w:rPr>
        <w:t xml:space="preserve"> (STE nr. 120)</w:t>
      </w:r>
      <w:r w:rsidRPr="000B5910">
        <w:rPr>
          <w:rFonts w:ascii="Times New Roman" w:hAnsi="Times New Roman" w:cs="Times New Roman"/>
          <w:sz w:val="24"/>
          <w:szCs w:val="24"/>
          <w:lang w:val="ro-RO"/>
        </w:rPr>
        <w:t>.</w:t>
      </w:r>
    </w:p>
    <w:p w:rsidR="0062462A" w:rsidRPr="000B5910" w:rsidRDefault="0062462A" w:rsidP="000B5910">
      <w:pPr>
        <w:shd w:val="clear" w:color="auto" w:fill="FFFFFF" w:themeFill="background1"/>
        <w:spacing w:before="120" w:after="120" w:line="240" w:lineRule="auto"/>
        <w:jc w:val="both"/>
        <w:rPr>
          <w:rFonts w:ascii="Times New Roman" w:hAnsi="Times New Roman" w:cs="Times New Roman"/>
          <w:sz w:val="24"/>
          <w:szCs w:val="24"/>
          <w:lang w:val="ro-RO"/>
        </w:rPr>
      </w:pPr>
      <w:r w:rsidRPr="000B5910">
        <w:rPr>
          <w:rFonts w:ascii="Times New Roman" w:hAnsi="Times New Roman" w:cs="Times New Roman"/>
          <w:sz w:val="24"/>
          <w:szCs w:val="24"/>
          <w:lang w:val="ro-RO"/>
        </w:rPr>
        <w:t xml:space="preserve">Convenția nr. 120 s-a axat pe prevenirea și descurajarea incidentelor de violență și de comportament neadecvat în interiorul sau în vecinătatea stadioanelor. Conținutul reflectat subliniază opiniile și practicile acelei epoci, care cuprinde o serie de dispoziții de securitate concepute pentru a controla mulțimile prin măsuri cum ar fi utilizarea de bariere și garduri, </w:t>
      </w:r>
      <w:r w:rsidR="007D6CC4" w:rsidRPr="000B5910">
        <w:rPr>
          <w:rFonts w:ascii="Times New Roman" w:hAnsi="Times New Roman" w:cs="Times New Roman"/>
          <w:sz w:val="24"/>
          <w:szCs w:val="24"/>
          <w:lang w:val="ro-RO"/>
        </w:rPr>
        <w:t>mobilizarea</w:t>
      </w:r>
      <w:r w:rsidRPr="000B5910">
        <w:rPr>
          <w:rFonts w:ascii="Times New Roman" w:hAnsi="Times New Roman" w:cs="Times New Roman"/>
          <w:sz w:val="24"/>
          <w:szCs w:val="24"/>
          <w:lang w:val="ro-RO"/>
        </w:rPr>
        <w:t xml:space="preserve"> forțelor de ordine publică, etc.</w:t>
      </w:r>
    </w:p>
    <w:p w:rsidR="0062462A" w:rsidRPr="000B5910" w:rsidRDefault="0062462A" w:rsidP="000B5910">
      <w:pPr>
        <w:spacing w:after="0" w:line="240" w:lineRule="auto"/>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Deoarece</w:t>
      </w:r>
      <w:r w:rsidR="00486525" w:rsidRPr="000B5910">
        <w:rPr>
          <w:rFonts w:ascii="Times New Roman" w:eastAsia="Calibri" w:hAnsi="Times New Roman" w:cs="Times New Roman"/>
          <w:sz w:val="24"/>
          <w:lang w:val="ro-RO"/>
        </w:rPr>
        <w:t>,</w:t>
      </w:r>
      <w:r w:rsidRPr="000B5910">
        <w:rPr>
          <w:rFonts w:ascii="Times New Roman" w:eastAsia="Calibri" w:hAnsi="Times New Roman" w:cs="Times New Roman"/>
          <w:sz w:val="24"/>
          <w:lang w:val="ro-RO"/>
        </w:rPr>
        <w:t xml:space="preserve"> Convenția </w:t>
      </w:r>
      <w:r w:rsidRPr="000B5910">
        <w:rPr>
          <w:rFonts w:ascii="Times New Roman" w:hAnsi="Times New Roman" w:cs="Times New Roman"/>
          <w:sz w:val="24"/>
          <w:szCs w:val="24"/>
          <w:lang w:val="ro-RO"/>
        </w:rPr>
        <w:t xml:space="preserve">nr. 120 </w:t>
      </w:r>
      <w:r w:rsidRPr="000B5910">
        <w:rPr>
          <w:rFonts w:ascii="Times New Roman" w:eastAsia="Calibri" w:hAnsi="Times New Roman" w:cs="Times New Roman"/>
          <w:sz w:val="24"/>
          <w:lang w:val="ro-RO"/>
        </w:rPr>
        <w:t>a atins vîrsta de aproape trei decenii și în mod inevitabil, o mare parte din conținutul ei a fost în contradicție cu experiența europeană actuală și de bune practici, și anume:</w:t>
      </w:r>
    </w:p>
    <w:p w:rsidR="0062462A" w:rsidRPr="000B5910" w:rsidRDefault="0062462A" w:rsidP="000B5910">
      <w:pPr>
        <w:numPr>
          <w:ilvl w:val="0"/>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accentul în prezent asupra violenței spectatorilor în mod izolat de alți factori cruciali, cum ar fi siguranța și serviciul prestat (altfel cunoscut sub numele de "ospitalitate"), care au un impact major asupra comportamentului spectatorilor și a nivelurilor de risc, fapt care a reprezentat un punct vulnerabil fundamental care trebuie abordat;</w:t>
      </w:r>
    </w:p>
    <w:p w:rsidR="0062462A" w:rsidRPr="000B5910" w:rsidRDefault="0062462A" w:rsidP="000B5910">
      <w:pPr>
        <w:numPr>
          <w:ilvl w:val="0"/>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respectarea balanței (în unele cazuri contradictorie) din conținutul Convenției, comparativ cu mai multe recomandări recente ale Comitetul permanent a fost confuză pentru statele părți și submina credibilitatea Convenției;</w:t>
      </w:r>
    </w:p>
    <w:p w:rsidR="0062462A" w:rsidRPr="000B5910" w:rsidRDefault="0062462A" w:rsidP="000B5910">
      <w:pPr>
        <w:numPr>
          <w:ilvl w:val="0"/>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accentul relativ îngust al Convenției a fost în contradicție cu misiunea și activitatea Comitetului permanent care este mult mai largă (Comitetul</w:t>
      </w:r>
      <w:r w:rsidR="007D6CC4" w:rsidRPr="000B5910">
        <w:rPr>
          <w:rFonts w:ascii="Times New Roman" w:eastAsia="Calibri" w:hAnsi="Times New Roman" w:cs="Times New Roman"/>
          <w:sz w:val="24"/>
          <w:lang w:val="ro-RO"/>
        </w:rPr>
        <w:t xml:space="preserve"> </w:t>
      </w:r>
      <w:r w:rsidRPr="000B5910">
        <w:rPr>
          <w:rFonts w:ascii="Times New Roman" w:eastAsia="Calibri" w:hAnsi="Times New Roman" w:cs="Times New Roman"/>
          <w:sz w:val="24"/>
          <w:lang w:val="ro-RO"/>
        </w:rPr>
        <w:t>a fost</w:t>
      </w:r>
      <w:r w:rsidR="007D6CC4" w:rsidRPr="000B5910">
        <w:rPr>
          <w:rFonts w:ascii="Times New Roman" w:eastAsia="Calibri" w:hAnsi="Times New Roman" w:cs="Times New Roman"/>
          <w:sz w:val="24"/>
          <w:lang w:val="ro-RO"/>
        </w:rPr>
        <w:t xml:space="preserve"> stabilit</w:t>
      </w:r>
      <w:r w:rsidR="00F20A54" w:rsidRPr="000B5910">
        <w:rPr>
          <w:rFonts w:ascii="Times New Roman" w:eastAsia="Calibri" w:hAnsi="Times New Roman" w:cs="Times New Roman"/>
          <w:sz w:val="24"/>
          <w:lang w:val="ro-RO"/>
        </w:rPr>
        <w:t xml:space="preserve"> inițial</w:t>
      </w:r>
      <w:r w:rsidR="007D6CC4" w:rsidRPr="000B5910">
        <w:rPr>
          <w:rFonts w:ascii="Times New Roman" w:eastAsia="Calibri" w:hAnsi="Times New Roman" w:cs="Times New Roman"/>
          <w:sz w:val="24"/>
          <w:lang w:val="ro-RO"/>
        </w:rPr>
        <w:t xml:space="preserve"> </w:t>
      </w:r>
      <w:r w:rsidRPr="000B5910">
        <w:rPr>
          <w:rFonts w:ascii="Times New Roman" w:eastAsia="Calibri" w:hAnsi="Times New Roman" w:cs="Times New Roman"/>
          <w:sz w:val="24"/>
          <w:lang w:val="ro-RO"/>
        </w:rPr>
        <w:t>pentru a monitoriza respectarea Convenției);</w:t>
      </w:r>
    </w:p>
    <w:p w:rsidR="0062462A" w:rsidRPr="000B5910" w:rsidRDefault="0062462A" w:rsidP="000B5910">
      <w:pPr>
        <w:numPr>
          <w:ilvl w:val="0"/>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a</w:t>
      </w:r>
      <w:r w:rsidR="00075BCB" w:rsidRPr="000B5910">
        <w:rPr>
          <w:rFonts w:ascii="Times New Roman" w:eastAsia="Calibri" w:hAnsi="Times New Roman" w:cs="Times New Roman"/>
          <w:sz w:val="24"/>
          <w:lang w:val="ro-RO"/>
        </w:rPr>
        <w:t>r trebui să se țină seama în</w:t>
      </w:r>
      <w:r w:rsidRPr="000B5910">
        <w:rPr>
          <w:rFonts w:ascii="Times New Roman" w:eastAsia="Calibri" w:hAnsi="Times New Roman" w:cs="Times New Roman"/>
          <w:sz w:val="24"/>
          <w:lang w:val="ro-RO"/>
        </w:rPr>
        <w:t xml:space="preserve"> mare măsură de impactul schimbărilor sociale (economice, migratoare, politice, sociale și tehnologice) în domeniul fotbalului, asociate cu nivelul de risc, inclusiv:</w:t>
      </w:r>
    </w:p>
    <w:p w:rsidR="0062462A" w:rsidRPr="000B5910" w:rsidRDefault="0062462A" w:rsidP="000B5910">
      <w:pPr>
        <w:numPr>
          <w:ilvl w:val="1"/>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difuzarea meciurilor de fotbal de profil înalt în zone publice, orașe și în general în jurul continentului;</w:t>
      </w:r>
    </w:p>
    <w:p w:rsidR="0062462A" w:rsidRPr="000B5910" w:rsidRDefault="0062462A" w:rsidP="000B5910">
      <w:pPr>
        <w:numPr>
          <w:ilvl w:val="1"/>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modelele de migrație și imigrație au avut drept rezultat apariția suporterilor ai unui anumit club național, fiind rezidenți ai cîtorva țări europene;</w:t>
      </w:r>
    </w:p>
    <w:p w:rsidR="0062462A" w:rsidRPr="000B5910" w:rsidRDefault="0062462A" w:rsidP="000B5910">
      <w:pPr>
        <w:numPr>
          <w:ilvl w:val="1"/>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companiile de turism și companiile aeriene oferă transport low-cost, astfel au contribuit la creșterea dramatică a volumului de suporteri care traversează continentul pentru a participa la meciuri;</w:t>
      </w:r>
    </w:p>
    <w:p w:rsidR="0062462A" w:rsidRPr="000B5910" w:rsidRDefault="0062462A" w:rsidP="000B5910">
      <w:pPr>
        <w:numPr>
          <w:ilvl w:val="1"/>
          <w:numId w:val="3"/>
        </w:numPr>
        <w:spacing w:after="0" w:line="240" w:lineRule="auto"/>
        <w:ind w:left="56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lastRenderedPageBreak/>
        <w:t>creșterea semnificativă a numărului de meciuri de fotbal și turnee europene de profil înalt de-a lungul ultimelor decenii;</w:t>
      </w:r>
    </w:p>
    <w:p w:rsidR="0062462A" w:rsidRPr="000B5910" w:rsidRDefault="0062462A" w:rsidP="000B5910">
      <w:pPr>
        <w:numPr>
          <w:ilvl w:val="1"/>
          <w:numId w:val="3"/>
        </w:numPr>
        <w:spacing w:after="120" w:line="240" w:lineRule="auto"/>
        <w:ind w:left="567" w:hanging="357"/>
        <w:contextualSpacing/>
        <w:jc w:val="both"/>
        <w:rPr>
          <w:rFonts w:ascii="Times New Roman" w:eastAsia="Calibri" w:hAnsi="Times New Roman" w:cs="Times New Roman"/>
          <w:sz w:val="24"/>
          <w:lang w:val="ro-RO"/>
        </w:rPr>
      </w:pPr>
      <w:r w:rsidRPr="000B5910">
        <w:rPr>
          <w:rFonts w:ascii="Times New Roman" w:eastAsia="Calibri" w:hAnsi="Times New Roman" w:cs="Times New Roman"/>
          <w:sz w:val="24"/>
          <w:lang w:val="ro-RO"/>
        </w:rPr>
        <w:t>intensificarea mass-media care a devenit mai critică față de toate aspectele legate de fotbal, ceea ce a dus la un control continuu al evenimentelor (în interiorul și în afara stadioanelor) asociată meciurilor și turneelor de profil înalt</w:t>
      </w:r>
      <w:r w:rsidR="00075BCB" w:rsidRPr="000B5910">
        <w:rPr>
          <w:rFonts w:ascii="Times New Roman" w:eastAsia="Calibri" w:hAnsi="Times New Roman" w:cs="Times New Roman"/>
          <w:sz w:val="24"/>
          <w:lang w:val="ro-RO"/>
        </w:rPr>
        <w:t>,</w:t>
      </w:r>
    </w:p>
    <w:p w:rsidR="00486525" w:rsidRPr="000B5910" w:rsidRDefault="00486525" w:rsidP="000B5910">
      <w:pPr>
        <w:spacing w:before="120" w:after="120" w:line="240" w:lineRule="auto"/>
        <w:jc w:val="both"/>
        <w:rPr>
          <w:rFonts w:ascii="Times New Roman" w:eastAsia="Times New Roman" w:hAnsi="Times New Roman" w:cs="Times New Roman"/>
          <w:b/>
          <w:sz w:val="26"/>
          <w:szCs w:val="26"/>
          <w:lang w:val="ro-RO"/>
        </w:rPr>
      </w:pPr>
      <w:r w:rsidRPr="000B5910">
        <w:rPr>
          <w:rFonts w:ascii="Times New Roman" w:eastAsia="Calibri" w:hAnsi="Times New Roman" w:cs="Times New Roman"/>
          <w:sz w:val="24"/>
          <w:lang w:val="ro-RO"/>
        </w:rPr>
        <w:t xml:space="preserve">Comitetul de </w:t>
      </w:r>
      <w:r w:rsidR="007E06BD" w:rsidRPr="000B5910">
        <w:rPr>
          <w:rFonts w:ascii="Times New Roman" w:eastAsia="Calibri" w:hAnsi="Times New Roman" w:cs="Times New Roman"/>
          <w:sz w:val="24"/>
          <w:lang w:val="ro-RO"/>
        </w:rPr>
        <w:t>Miniștri al Consiliului Europei</w:t>
      </w:r>
      <w:r w:rsidRPr="000B5910">
        <w:rPr>
          <w:rFonts w:ascii="Times New Roman" w:eastAsia="Calibri" w:hAnsi="Times New Roman" w:cs="Times New Roman"/>
          <w:sz w:val="24"/>
          <w:lang w:val="ro-RO"/>
        </w:rPr>
        <w:t xml:space="preserve"> a adoptat în cadrul celei de-a 1255</w:t>
      </w:r>
      <w:r w:rsidR="003155D4" w:rsidRPr="000B5910">
        <w:rPr>
          <w:rFonts w:ascii="Times New Roman" w:eastAsia="Calibri" w:hAnsi="Times New Roman" w:cs="Times New Roman"/>
          <w:sz w:val="24"/>
          <w:lang w:val="ro-RO"/>
        </w:rPr>
        <w:t>-a Reuniuni a Delegaților</w:t>
      </w:r>
      <w:r w:rsidR="007E06BD" w:rsidRPr="000B5910">
        <w:rPr>
          <w:rFonts w:ascii="Times New Roman" w:eastAsia="Calibri" w:hAnsi="Times New Roman" w:cs="Times New Roman"/>
          <w:sz w:val="24"/>
          <w:lang w:val="ro-RO"/>
        </w:rPr>
        <w:t>, noua Convenție</w:t>
      </w:r>
      <w:r w:rsidR="003155D4" w:rsidRPr="000B5910">
        <w:rPr>
          <w:rFonts w:ascii="Times New Roman" w:eastAsia="Calibri" w:hAnsi="Times New Roman" w:cs="Times New Roman"/>
          <w:sz w:val="24"/>
          <w:lang w:val="ro-RO"/>
        </w:rPr>
        <w:t xml:space="preserve"> </w:t>
      </w:r>
      <w:r w:rsidR="007E06BD" w:rsidRPr="000B5910">
        <w:rPr>
          <w:rFonts w:ascii="Times New Roman" w:eastAsia="Times New Roman" w:hAnsi="Times New Roman" w:cs="Times New Roman"/>
          <w:sz w:val="24"/>
          <w:szCs w:val="26"/>
          <w:lang w:val="ro-RO"/>
        </w:rPr>
        <w:t>privind abordarea integrată a siguranței, securității și deservirii în timpul meciurilor de fotbal și a altor evenimente sportive.</w:t>
      </w:r>
      <w:r w:rsidR="007E06BD" w:rsidRPr="000B5910">
        <w:rPr>
          <w:rFonts w:ascii="Times New Roman" w:eastAsia="Times New Roman" w:hAnsi="Times New Roman" w:cs="Times New Roman"/>
          <w:b/>
          <w:sz w:val="26"/>
          <w:szCs w:val="26"/>
          <w:lang w:val="ro-RO"/>
        </w:rPr>
        <w:t xml:space="preserve"> </w:t>
      </w:r>
      <w:r w:rsidR="007E06BD" w:rsidRPr="000B5910">
        <w:rPr>
          <w:rFonts w:ascii="Times New Roman" w:eastAsia="Calibri" w:hAnsi="Times New Roman" w:cs="Times New Roman"/>
          <w:sz w:val="24"/>
          <w:lang w:val="ro-RO"/>
        </w:rPr>
        <w:t>Revizuirea C</w:t>
      </w:r>
      <w:r w:rsidR="0062462A" w:rsidRPr="000B5910">
        <w:rPr>
          <w:rFonts w:ascii="Times New Roman" w:eastAsia="Calibri" w:hAnsi="Times New Roman" w:cs="Times New Roman"/>
          <w:sz w:val="24"/>
          <w:lang w:val="ro-RO"/>
        </w:rPr>
        <w:t>onvenției</w:t>
      </w:r>
      <w:r w:rsidR="007E06BD" w:rsidRPr="000B5910">
        <w:rPr>
          <w:rFonts w:ascii="Times New Roman" w:eastAsia="Calibri" w:hAnsi="Times New Roman" w:cs="Times New Roman"/>
          <w:sz w:val="24"/>
          <w:lang w:val="ro-RO"/>
        </w:rPr>
        <w:t xml:space="preserve"> </w:t>
      </w:r>
      <w:r w:rsidR="007E06BD" w:rsidRPr="000B5910">
        <w:rPr>
          <w:rFonts w:ascii="Times New Roman" w:hAnsi="Times New Roman" w:cs="Times New Roman"/>
          <w:sz w:val="24"/>
          <w:szCs w:val="24"/>
          <w:lang w:val="ro-RO"/>
        </w:rPr>
        <w:t>nr. 120</w:t>
      </w:r>
      <w:r w:rsidR="0062462A" w:rsidRPr="000B5910">
        <w:rPr>
          <w:rFonts w:ascii="Times New Roman" w:eastAsia="Calibri" w:hAnsi="Times New Roman" w:cs="Times New Roman"/>
          <w:sz w:val="24"/>
          <w:lang w:val="ro-RO"/>
        </w:rPr>
        <w:t xml:space="preserve"> </w:t>
      </w:r>
      <w:r w:rsidRPr="000B5910">
        <w:rPr>
          <w:rFonts w:ascii="Times New Roman" w:eastAsia="Calibri" w:hAnsi="Times New Roman" w:cs="Times New Roman"/>
          <w:sz w:val="24"/>
          <w:lang w:val="ro-RO"/>
        </w:rPr>
        <w:t>oferă</w:t>
      </w:r>
      <w:r w:rsidR="00075BCB" w:rsidRPr="000B5910">
        <w:rPr>
          <w:rFonts w:ascii="Times New Roman" w:eastAsia="Calibri" w:hAnsi="Times New Roman" w:cs="Times New Roman"/>
          <w:sz w:val="24"/>
          <w:lang w:val="ro-RO"/>
        </w:rPr>
        <w:t xml:space="preserve"> </w:t>
      </w:r>
      <w:r w:rsidR="0062462A" w:rsidRPr="000B5910">
        <w:rPr>
          <w:rFonts w:ascii="Times New Roman" w:eastAsia="Calibri" w:hAnsi="Times New Roman" w:cs="Times New Roman"/>
          <w:sz w:val="24"/>
          <w:lang w:val="ro-RO"/>
        </w:rPr>
        <w:t>oportunitate</w:t>
      </w:r>
      <w:r w:rsidR="00075BCB" w:rsidRPr="000B5910">
        <w:rPr>
          <w:rFonts w:ascii="Times New Roman" w:eastAsia="Calibri" w:hAnsi="Times New Roman" w:cs="Times New Roman"/>
          <w:sz w:val="24"/>
          <w:lang w:val="ro-RO"/>
        </w:rPr>
        <w:t>a</w:t>
      </w:r>
      <w:r w:rsidR="0062462A" w:rsidRPr="000B5910">
        <w:rPr>
          <w:rFonts w:ascii="Times New Roman" w:eastAsia="Calibri" w:hAnsi="Times New Roman" w:cs="Times New Roman"/>
          <w:sz w:val="24"/>
          <w:lang w:val="ro-RO"/>
        </w:rPr>
        <w:t xml:space="preserve"> </w:t>
      </w:r>
      <w:r w:rsidR="00075BCB" w:rsidRPr="000B5910">
        <w:rPr>
          <w:rFonts w:ascii="Times New Roman" w:eastAsia="Calibri" w:hAnsi="Times New Roman" w:cs="Times New Roman"/>
          <w:sz w:val="24"/>
          <w:lang w:val="ro-RO"/>
        </w:rPr>
        <w:t>de</w:t>
      </w:r>
      <w:r w:rsidR="0062462A" w:rsidRPr="000B5910">
        <w:rPr>
          <w:rFonts w:ascii="Times New Roman" w:eastAsia="Calibri" w:hAnsi="Times New Roman" w:cs="Times New Roman"/>
          <w:sz w:val="24"/>
          <w:lang w:val="ro-RO"/>
        </w:rPr>
        <w:t xml:space="preserve"> a promova în continuare necesitatea</w:t>
      </w:r>
      <w:r w:rsidR="00075BCB" w:rsidRPr="000B5910">
        <w:rPr>
          <w:rFonts w:ascii="Times New Roman" w:eastAsia="Calibri" w:hAnsi="Times New Roman" w:cs="Times New Roman"/>
          <w:sz w:val="24"/>
          <w:lang w:val="ro-RO"/>
        </w:rPr>
        <w:t xml:space="preserve"> tot mai mare de creare</w:t>
      </w:r>
      <w:r w:rsidR="0062462A" w:rsidRPr="000B5910">
        <w:rPr>
          <w:rFonts w:ascii="Times New Roman" w:eastAsia="Calibri" w:hAnsi="Times New Roman" w:cs="Times New Roman"/>
          <w:sz w:val="24"/>
          <w:lang w:val="ro-RO"/>
        </w:rPr>
        <w:t xml:space="preserve"> </w:t>
      </w:r>
      <w:r w:rsidR="00075BCB" w:rsidRPr="000B5910">
        <w:rPr>
          <w:rFonts w:ascii="Times New Roman" w:eastAsia="Calibri" w:hAnsi="Times New Roman" w:cs="Times New Roman"/>
          <w:sz w:val="24"/>
          <w:lang w:val="ro-RO"/>
        </w:rPr>
        <w:t xml:space="preserve">a </w:t>
      </w:r>
      <w:r w:rsidR="0062462A" w:rsidRPr="000B5910">
        <w:rPr>
          <w:rFonts w:ascii="Times New Roman" w:eastAsia="Calibri" w:hAnsi="Times New Roman" w:cs="Times New Roman"/>
          <w:sz w:val="24"/>
          <w:lang w:val="ro-RO"/>
        </w:rPr>
        <w:t>unei/</w:t>
      </w:r>
      <w:r w:rsidR="00075BCB" w:rsidRPr="000B5910">
        <w:rPr>
          <w:rFonts w:ascii="Times New Roman" w:eastAsia="Calibri" w:hAnsi="Times New Roman" w:cs="Times New Roman"/>
          <w:sz w:val="24"/>
          <w:lang w:val="ro-RO"/>
        </w:rPr>
        <w:t>unor</w:t>
      </w:r>
      <w:r w:rsidR="0062462A" w:rsidRPr="000B5910">
        <w:rPr>
          <w:rFonts w:ascii="Times New Roman" w:eastAsia="Calibri" w:hAnsi="Times New Roman" w:cs="Times New Roman"/>
          <w:sz w:val="24"/>
          <w:lang w:val="ro-RO"/>
        </w:rPr>
        <w:t xml:space="preserve"> agenții de abordare integrată a siguranței, securității ș</w:t>
      </w:r>
      <w:r w:rsidR="007C2C42" w:rsidRPr="000B5910">
        <w:rPr>
          <w:rFonts w:ascii="Times New Roman" w:eastAsia="Calibri" w:hAnsi="Times New Roman" w:cs="Times New Roman"/>
          <w:sz w:val="24"/>
          <w:lang w:val="ro-RO"/>
        </w:rPr>
        <w:t>i deservirii</w:t>
      </w:r>
      <w:r w:rsidR="0062462A" w:rsidRPr="000B5910">
        <w:rPr>
          <w:rFonts w:ascii="Times New Roman" w:eastAsia="Calibri" w:hAnsi="Times New Roman" w:cs="Times New Roman"/>
          <w:sz w:val="24"/>
          <w:lang w:val="ro-RO"/>
        </w:rPr>
        <w:t>, împreună c</w:t>
      </w:r>
      <w:r w:rsidRPr="000B5910">
        <w:rPr>
          <w:rFonts w:ascii="Times New Roman" w:eastAsia="Calibri" w:hAnsi="Times New Roman" w:cs="Times New Roman"/>
          <w:sz w:val="24"/>
          <w:lang w:val="ro-RO"/>
        </w:rPr>
        <w:t>u o serie de alte bune practici. De</w:t>
      </w:r>
      <w:r w:rsidR="007E06BD" w:rsidRPr="000B5910">
        <w:rPr>
          <w:rFonts w:ascii="Times New Roman" w:eastAsia="Calibri" w:hAnsi="Times New Roman" w:cs="Times New Roman"/>
          <w:sz w:val="24"/>
          <w:lang w:val="ro-RO"/>
        </w:rPr>
        <w:t xml:space="preserve"> </w:t>
      </w:r>
      <w:r w:rsidRPr="000B5910">
        <w:rPr>
          <w:rFonts w:ascii="Times New Roman" w:eastAsia="Calibri" w:hAnsi="Times New Roman" w:cs="Times New Roman"/>
          <w:sz w:val="24"/>
          <w:lang w:val="ro-RO"/>
        </w:rPr>
        <w:t>asemenea,</w:t>
      </w:r>
      <w:r w:rsidR="0062462A" w:rsidRPr="000B5910">
        <w:rPr>
          <w:rFonts w:ascii="Times New Roman" w:eastAsia="Calibri" w:hAnsi="Times New Roman" w:cs="Times New Roman"/>
          <w:sz w:val="24"/>
          <w:lang w:val="ro-RO"/>
        </w:rPr>
        <w:t xml:space="preserve"> ar contribui la dezvoltarea în continuare de parteneriate eficiente cu organismele sportive internaționale de conducere și </w:t>
      </w:r>
      <w:r w:rsidRPr="000B5910">
        <w:rPr>
          <w:rFonts w:ascii="Times New Roman" w:eastAsia="Calibri" w:hAnsi="Times New Roman" w:cs="Times New Roman"/>
          <w:sz w:val="24"/>
          <w:lang w:val="ro-RO"/>
        </w:rPr>
        <w:t>alte</w:t>
      </w:r>
      <w:r w:rsidR="0062462A" w:rsidRPr="000B5910">
        <w:rPr>
          <w:rFonts w:ascii="Times New Roman" w:eastAsia="Calibri" w:hAnsi="Times New Roman" w:cs="Times New Roman"/>
          <w:sz w:val="24"/>
          <w:lang w:val="ro-RO"/>
        </w:rPr>
        <w:t xml:space="preserve"> grupuri internaționale specializate în materie de si</w:t>
      </w:r>
      <w:r w:rsidRPr="000B5910">
        <w:rPr>
          <w:rFonts w:ascii="Times New Roman" w:eastAsia="Calibri" w:hAnsi="Times New Roman" w:cs="Times New Roman"/>
          <w:sz w:val="24"/>
          <w:lang w:val="ro-RO"/>
        </w:rPr>
        <w:t>guranță și securitate în fotbal. E</w:t>
      </w:r>
      <w:r w:rsidR="0062462A" w:rsidRPr="000B5910">
        <w:rPr>
          <w:rFonts w:ascii="Times New Roman" w:eastAsia="Calibri" w:hAnsi="Times New Roman" w:cs="Times New Roman"/>
          <w:sz w:val="24"/>
          <w:lang w:val="ro-RO"/>
        </w:rPr>
        <w:t>xperiența europeană vastă și de bune practici ar putea ajuta la monitorizarea și e</w:t>
      </w:r>
      <w:r w:rsidRPr="000B5910">
        <w:rPr>
          <w:rFonts w:ascii="Times New Roman" w:eastAsia="Calibri" w:hAnsi="Times New Roman" w:cs="Times New Roman"/>
          <w:sz w:val="24"/>
          <w:lang w:val="ro-RO"/>
        </w:rPr>
        <w:t>valuarea respectării Convenției</w:t>
      </w:r>
      <w:r w:rsidR="0062462A" w:rsidRPr="000B5910">
        <w:rPr>
          <w:rFonts w:ascii="Times New Roman" w:eastAsia="Calibri" w:hAnsi="Times New Roman" w:cs="Times New Roman"/>
          <w:sz w:val="24"/>
          <w:lang w:val="ro-RO"/>
        </w:rPr>
        <w:t xml:space="preserve"> și facilita furnizarea de consultanță semnificativă de </w:t>
      </w:r>
      <w:r w:rsidRPr="000B5910">
        <w:rPr>
          <w:rFonts w:ascii="Times New Roman" w:eastAsia="Calibri" w:hAnsi="Times New Roman" w:cs="Times New Roman"/>
          <w:sz w:val="24"/>
          <w:lang w:val="ro-RO"/>
        </w:rPr>
        <w:t>sprijin statelor părți.</w:t>
      </w:r>
    </w:p>
    <w:p w:rsidR="0062462A" w:rsidRPr="000B5910" w:rsidRDefault="007C2C42" w:rsidP="000B5910">
      <w:pPr>
        <w:spacing w:after="120" w:line="240" w:lineRule="auto"/>
        <w:jc w:val="both"/>
        <w:rPr>
          <w:rFonts w:ascii="Times New Roman" w:eastAsia="Times New Roman" w:hAnsi="Times New Roman" w:cs="Times New Roman"/>
          <w:b/>
          <w:sz w:val="26"/>
          <w:szCs w:val="26"/>
          <w:lang w:val="ro-RO"/>
        </w:rPr>
      </w:pPr>
      <w:r w:rsidRPr="000B5910">
        <w:rPr>
          <w:rFonts w:ascii="Times New Roman" w:eastAsia="Calibri" w:hAnsi="Times New Roman" w:cs="Times New Roman"/>
          <w:sz w:val="24"/>
          <w:lang w:val="ro-RO"/>
        </w:rPr>
        <w:t>Noua C</w:t>
      </w:r>
      <w:r w:rsidR="007E06BD" w:rsidRPr="000B5910">
        <w:rPr>
          <w:rFonts w:ascii="Times New Roman" w:eastAsia="Calibri" w:hAnsi="Times New Roman" w:cs="Times New Roman"/>
          <w:sz w:val="24"/>
          <w:lang w:val="ro-RO"/>
        </w:rPr>
        <w:t>onvenție</w:t>
      </w:r>
      <w:r w:rsidR="0062462A" w:rsidRPr="000B5910">
        <w:rPr>
          <w:rFonts w:ascii="Times New Roman" w:eastAsia="Calibri" w:hAnsi="Times New Roman" w:cs="Times New Roman"/>
          <w:sz w:val="24"/>
          <w:lang w:val="ro-RO"/>
        </w:rPr>
        <w:t xml:space="preserve"> încorporează principiile cheie și măsurile care permit și oferă baza unor bune practici stabilite, dintre care multe sunt păstrate pentru a fi pre-rechizite de a reduce și combate eficient riscurile de siguranță și securitate în legătură cu fotbalul și alte evenimente sportive. Aceste riscuri pot proveni din diferite cauze, de exemplu dezastre naturale, atacuri teroriste, defecțiuni de infrastructură, violență de orice fel și comportament inadecvat.</w:t>
      </w:r>
    </w:p>
    <w:p w:rsidR="007E06BD" w:rsidRPr="000B5910" w:rsidRDefault="007E06BD" w:rsidP="000B5910">
      <w:pPr>
        <w:shd w:val="clear" w:color="auto" w:fill="FFFFFF" w:themeFill="background1"/>
        <w:spacing w:before="120" w:after="120" w:line="240" w:lineRule="auto"/>
        <w:jc w:val="both"/>
        <w:rPr>
          <w:rFonts w:ascii="Times New Roman" w:hAnsi="Times New Roman" w:cs="Times New Roman"/>
          <w:sz w:val="24"/>
          <w:szCs w:val="24"/>
          <w:lang w:val="ro-RO"/>
        </w:rPr>
      </w:pPr>
      <w:r w:rsidRPr="000B5910">
        <w:rPr>
          <w:rFonts w:ascii="Times New Roman" w:hAnsi="Times New Roman" w:cs="Times New Roman"/>
          <w:sz w:val="24"/>
          <w:szCs w:val="24"/>
          <w:lang w:val="ro-RO"/>
        </w:rPr>
        <w:t>Prezentul act este un tratat internațional interstatal de drept public internațional.</w:t>
      </w:r>
    </w:p>
    <w:p w:rsidR="00736A1A" w:rsidRPr="000B5910" w:rsidRDefault="007E06BD" w:rsidP="000B5910">
      <w:pPr>
        <w:pStyle w:val="a3"/>
        <w:shd w:val="clear" w:color="auto" w:fill="FFFFFF" w:themeFill="background1"/>
        <w:spacing w:before="0" w:beforeAutospacing="0" w:after="120" w:afterAutospacing="0"/>
        <w:jc w:val="both"/>
        <w:rPr>
          <w:rFonts w:eastAsia="Calibri"/>
          <w:lang w:val="ro-RO"/>
        </w:rPr>
      </w:pPr>
      <w:r w:rsidRPr="000B5910">
        <w:rPr>
          <w:b/>
          <w:i/>
          <w:lang w:val="ro-RO"/>
        </w:rPr>
        <w:t>Structura.</w:t>
      </w:r>
      <w:r w:rsidRPr="000B5910">
        <w:rPr>
          <w:i/>
          <w:lang w:val="ro-RO"/>
        </w:rPr>
        <w:t xml:space="preserve"> </w:t>
      </w:r>
      <w:r w:rsidRPr="000B5910">
        <w:rPr>
          <w:lang w:val="ro-RO"/>
        </w:rPr>
        <w:t>Prezenta Convenţie este compusă din 22 articole care,</w:t>
      </w:r>
      <w:r w:rsidR="0062462A" w:rsidRPr="000B5910">
        <w:rPr>
          <w:rFonts w:eastAsia="Calibri"/>
          <w:lang w:val="ro-RO"/>
        </w:rPr>
        <w:t xml:space="preserve"> prin urmare, </w:t>
      </w:r>
      <w:r w:rsidRPr="000B5910">
        <w:rPr>
          <w:rFonts w:eastAsia="Calibri"/>
          <w:lang w:val="ro-RO"/>
        </w:rPr>
        <w:t>reflectă</w:t>
      </w:r>
      <w:r w:rsidR="0062462A" w:rsidRPr="000B5910">
        <w:rPr>
          <w:rFonts w:eastAsia="Calibri"/>
          <w:lang w:val="ro-RO"/>
        </w:rPr>
        <w:t xml:space="preserve"> experiența europeană pe scară largă, care evidențiază faptul că concentrarea numai asupra riscurilor de securitate în mod izolat, nu furnizează un mijloc adecvat sau eficace pentru reducerea riscurilor sau asigurarea unei atmosfere sigure și primitoare pe stadioane.</w:t>
      </w:r>
    </w:p>
    <w:p w:rsidR="0062462A" w:rsidRPr="000B5910" w:rsidRDefault="0062462A" w:rsidP="000B5910">
      <w:pPr>
        <w:pStyle w:val="a3"/>
        <w:shd w:val="clear" w:color="auto" w:fill="FFFFFF" w:themeFill="background1"/>
        <w:spacing w:before="0" w:beforeAutospacing="0" w:after="120" w:afterAutospacing="0"/>
        <w:jc w:val="both"/>
        <w:rPr>
          <w:rFonts w:eastAsia="Calibri"/>
          <w:lang w:val="ro-RO"/>
        </w:rPr>
      </w:pPr>
      <w:r w:rsidRPr="000B5910">
        <w:rPr>
          <w:rFonts w:eastAsia="Calibri"/>
          <w:b/>
          <w:i/>
          <w:lang w:val="ro-RO"/>
        </w:rPr>
        <w:t xml:space="preserve"> Scopul </w:t>
      </w:r>
      <w:r w:rsidR="007E06BD" w:rsidRPr="000B5910">
        <w:rPr>
          <w:rFonts w:eastAsia="Calibri"/>
          <w:b/>
          <w:i/>
          <w:lang w:val="ro-RO"/>
        </w:rPr>
        <w:t>prezentei convenți</w:t>
      </w:r>
      <w:r w:rsidRPr="000B5910">
        <w:rPr>
          <w:rFonts w:eastAsia="Calibri"/>
          <w:b/>
          <w:i/>
          <w:lang w:val="ro-RO"/>
        </w:rPr>
        <w:t>i</w:t>
      </w:r>
      <w:r w:rsidR="007E06BD" w:rsidRPr="000B5910">
        <w:rPr>
          <w:rFonts w:eastAsia="Calibri"/>
          <w:lang w:val="ro-RO"/>
        </w:rPr>
        <w:t xml:space="preserve"> </w:t>
      </w:r>
      <w:r w:rsidRPr="000B5910">
        <w:rPr>
          <w:rFonts w:eastAsia="Calibri"/>
          <w:lang w:val="ro-RO"/>
        </w:rPr>
        <w:t xml:space="preserve">este de a promova o multi-agenție - abordare integrată în </w:t>
      </w:r>
      <w:r w:rsidR="00736A1A" w:rsidRPr="000B5910">
        <w:rPr>
          <w:rFonts w:eastAsia="Calibri"/>
          <w:lang w:val="ro-RO"/>
        </w:rPr>
        <w:t xml:space="preserve">materie de </w:t>
      </w:r>
      <w:r w:rsidRPr="000B5910">
        <w:rPr>
          <w:rFonts w:eastAsia="Calibri"/>
          <w:lang w:val="ro-RO"/>
        </w:rPr>
        <w:t>siguranță, securitate și</w:t>
      </w:r>
      <w:r w:rsidR="007C2C42" w:rsidRPr="000B5910">
        <w:rPr>
          <w:rFonts w:eastAsia="Calibri"/>
          <w:lang w:val="ro-RO"/>
        </w:rPr>
        <w:t xml:space="preserve"> deservire</w:t>
      </w:r>
      <w:r w:rsidRPr="000B5910">
        <w:rPr>
          <w:rFonts w:eastAsia="Calibri"/>
          <w:lang w:val="ro-RO"/>
        </w:rPr>
        <w:t>, precum și un parteneriat între toate agențiile impl</w:t>
      </w:r>
      <w:r w:rsidR="00736A1A" w:rsidRPr="000B5910">
        <w:rPr>
          <w:rFonts w:eastAsia="Calibri"/>
          <w:lang w:val="ro-RO"/>
        </w:rPr>
        <w:t>icate într-un eveniment sportiv, pe fondul unei etici de cooperare și determinare pentru a oferi un mediu sigur și primitor pentru toți indivizii la fotbal și alte evenimente sportive și cu roluri și responsabilități clare ale</w:t>
      </w:r>
      <w:r w:rsidRPr="000B5910">
        <w:rPr>
          <w:rFonts w:eastAsia="Calibri"/>
          <w:lang w:val="ro-RO"/>
        </w:rPr>
        <w:t xml:space="preserve"> fiecărei ins</w:t>
      </w:r>
      <w:r w:rsidR="00736A1A" w:rsidRPr="000B5910">
        <w:rPr>
          <w:rFonts w:eastAsia="Calibri"/>
          <w:lang w:val="ro-RO"/>
        </w:rPr>
        <w:t>tituții publice și private</w:t>
      </w:r>
      <w:r w:rsidRPr="000B5910">
        <w:rPr>
          <w:rFonts w:eastAsia="Calibri"/>
          <w:lang w:val="ro-RO"/>
        </w:rPr>
        <w:t xml:space="preserve">. </w:t>
      </w:r>
      <w:r w:rsidR="00736A1A" w:rsidRPr="000B5910">
        <w:rPr>
          <w:rFonts w:eastAsia="Calibri"/>
          <w:lang w:val="ro-RO"/>
        </w:rPr>
        <w:t>Proiectul, de asemenea, se concentrează pe importanța dezvoltării unui dialog cu părțile</w:t>
      </w:r>
      <w:r w:rsidR="00F20A54" w:rsidRPr="000B5910">
        <w:rPr>
          <w:rFonts w:eastAsia="Calibri"/>
          <w:lang w:val="ro-RO"/>
        </w:rPr>
        <w:t xml:space="preserve"> </w:t>
      </w:r>
      <w:r w:rsidR="00736A1A" w:rsidRPr="000B5910">
        <w:rPr>
          <w:rFonts w:eastAsia="Calibri"/>
          <w:lang w:val="ro-RO"/>
        </w:rPr>
        <w:t>interesat</w:t>
      </w:r>
      <w:r w:rsidR="00744174" w:rsidRPr="000B5910">
        <w:rPr>
          <w:rFonts w:eastAsia="Calibri"/>
          <w:lang w:val="ro-RO"/>
        </w:rPr>
        <w:t>e cheie</w:t>
      </w:r>
      <w:r w:rsidR="00736A1A" w:rsidRPr="000B5910">
        <w:rPr>
          <w:rFonts w:eastAsia="Calibri"/>
          <w:lang w:val="ro-RO"/>
        </w:rPr>
        <w:t>, precum comunitățile locale și susținător</w:t>
      </w:r>
      <w:r w:rsidR="000B5910">
        <w:rPr>
          <w:rFonts w:eastAsia="Calibri"/>
          <w:lang w:val="ro-RO"/>
        </w:rPr>
        <w:t>ii</w:t>
      </w:r>
      <w:r w:rsidR="00736A1A" w:rsidRPr="000B5910">
        <w:rPr>
          <w:rFonts w:eastAsia="Calibri"/>
          <w:lang w:val="ro-RO"/>
        </w:rPr>
        <w:t>.</w:t>
      </w:r>
    </w:p>
    <w:p w:rsidR="00736A1A" w:rsidRPr="000B5910" w:rsidRDefault="00736A1A" w:rsidP="000B5910">
      <w:pPr>
        <w:pStyle w:val="a3"/>
        <w:shd w:val="clear" w:color="auto" w:fill="FFFFFF" w:themeFill="background1"/>
        <w:spacing w:before="0" w:beforeAutospacing="0" w:after="120" w:afterAutospacing="0"/>
        <w:jc w:val="both"/>
        <w:rPr>
          <w:lang w:val="ro-RO"/>
        </w:rPr>
      </w:pPr>
      <w:r w:rsidRPr="000B5910">
        <w:rPr>
          <w:b/>
          <w:i/>
          <w:lang w:val="ro-RO"/>
        </w:rPr>
        <w:t>Obiectivul</w:t>
      </w:r>
      <w:r w:rsidRPr="000B5910">
        <w:rPr>
          <w:lang w:val="ro-RO"/>
        </w:rPr>
        <w:t xml:space="preserve"> aceste</w:t>
      </w:r>
      <w:r w:rsidR="00CF31DE" w:rsidRPr="000B5910">
        <w:rPr>
          <w:lang w:val="ro-RO"/>
        </w:rPr>
        <w:t>i</w:t>
      </w:r>
      <w:r w:rsidRPr="000B5910">
        <w:rPr>
          <w:lang w:val="ro-RO"/>
        </w:rPr>
        <w:t xml:space="preserve"> Convenții este de a asigura un mediu sigur și agreabil în timpul meciurilor de fotbal, și a altor evenimente sportive.</w:t>
      </w:r>
    </w:p>
    <w:p w:rsidR="00A218B4" w:rsidRPr="000B5910" w:rsidRDefault="000D05A9" w:rsidP="000B5910">
      <w:pPr>
        <w:spacing w:after="120" w:line="240" w:lineRule="auto"/>
        <w:jc w:val="both"/>
        <w:rPr>
          <w:rFonts w:ascii="Times New Roman" w:eastAsia="Times New Roman" w:hAnsi="Times New Roman" w:cs="Times New Roman"/>
          <w:lang w:val="ro-RO"/>
        </w:rPr>
      </w:pPr>
      <w:r w:rsidRPr="000B5910">
        <w:rPr>
          <w:rFonts w:ascii="Times New Roman" w:hAnsi="Times New Roman" w:cs="Times New Roman"/>
          <w:sz w:val="24"/>
          <w:szCs w:val="24"/>
          <w:lang w:val="ro-RO"/>
        </w:rPr>
        <w:t>În temeiul C</w:t>
      </w:r>
      <w:r w:rsidR="00B86B85" w:rsidRPr="000B5910">
        <w:rPr>
          <w:rFonts w:ascii="Times New Roman" w:hAnsi="Times New Roman" w:cs="Times New Roman"/>
          <w:sz w:val="24"/>
          <w:szCs w:val="24"/>
          <w:lang w:val="ro-RO"/>
        </w:rPr>
        <w:t xml:space="preserve">onvenției, a fost creat Comitetul </w:t>
      </w:r>
      <w:r w:rsidR="00C97D04" w:rsidRPr="000B5910">
        <w:rPr>
          <w:rFonts w:ascii="Times New Roman" w:hAnsi="Times New Roman" w:cs="Times New Roman"/>
          <w:sz w:val="24"/>
          <w:szCs w:val="24"/>
          <w:lang w:val="ro-RO"/>
        </w:rPr>
        <w:t xml:space="preserve">de Siguranță și Securitate în timpul Evenimentelor Sportive </w:t>
      </w:r>
      <w:r w:rsidR="00B86B85" w:rsidRPr="000B5910">
        <w:rPr>
          <w:rFonts w:ascii="Times New Roman" w:hAnsi="Times New Roman" w:cs="Times New Roman"/>
          <w:sz w:val="24"/>
          <w:szCs w:val="24"/>
          <w:lang w:val="ro-RO"/>
        </w:rPr>
        <w:t>care are mis</w:t>
      </w:r>
      <w:r w:rsidRPr="000B5910">
        <w:rPr>
          <w:rFonts w:ascii="Times New Roman" w:hAnsi="Times New Roman" w:cs="Times New Roman"/>
          <w:sz w:val="24"/>
          <w:szCs w:val="24"/>
          <w:lang w:val="ro-RO"/>
        </w:rPr>
        <w:t>iunea de a asigura respectarea C</w:t>
      </w:r>
      <w:r w:rsidR="00B86B85" w:rsidRPr="000B5910">
        <w:rPr>
          <w:rFonts w:ascii="Times New Roman" w:hAnsi="Times New Roman" w:cs="Times New Roman"/>
          <w:sz w:val="24"/>
          <w:szCs w:val="24"/>
          <w:lang w:val="ro-RO"/>
        </w:rPr>
        <w:t xml:space="preserve">onvenției de către părțile semnatare. </w:t>
      </w:r>
      <w:r w:rsidRPr="000B5910">
        <w:rPr>
          <w:rFonts w:ascii="Times New Roman" w:eastAsia="Times New Roman" w:hAnsi="Times New Roman" w:cs="Times New Roman"/>
          <w:sz w:val="24"/>
          <w:szCs w:val="24"/>
          <w:lang w:val="ro-RO"/>
        </w:rPr>
        <w:t>Orice p</w:t>
      </w:r>
      <w:r w:rsidR="00C97D04" w:rsidRPr="000B5910">
        <w:rPr>
          <w:rFonts w:ascii="Times New Roman" w:eastAsia="Times New Roman" w:hAnsi="Times New Roman" w:cs="Times New Roman"/>
          <w:sz w:val="24"/>
          <w:szCs w:val="24"/>
          <w:lang w:val="ro-RO"/>
        </w:rPr>
        <w:t>arte a acestei Conv</w:t>
      </w:r>
      <w:r w:rsidRPr="000B5910">
        <w:rPr>
          <w:rFonts w:ascii="Times New Roman" w:eastAsia="Times New Roman" w:hAnsi="Times New Roman" w:cs="Times New Roman"/>
          <w:sz w:val="24"/>
          <w:szCs w:val="24"/>
          <w:lang w:val="ro-RO"/>
        </w:rPr>
        <w:t>enții poate fi reprezentată în C</w:t>
      </w:r>
      <w:r w:rsidR="00C97D04" w:rsidRPr="000B5910">
        <w:rPr>
          <w:rFonts w:ascii="Times New Roman" w:eastAsia="Times New Roman" w:hAnsi="Times New Roman" w:cs="Times New Roman"/>
          <w:sz w:val="24"/>
          <w:szCs w:val="24"/>
          <w:lang w:val="ro-RO"/>
        </w:rPr>
        <w:t>omitet de către unul sa</w:t>
      </w:r>
      <w:r w:rsidRPr="000B5910">
        <w:rPr>
          <w:rFonts w:ascii="Times New Roman" w:eastAsia="Times New Roman" w:hAnsi="Times New Roman" w:cs="Times New Roman"/>
          <w:sz w:val="24"/>
          <w:szCs w:val="24"/>
          <w:lang w:val="ro-RO"/>
        </w:rPr>
        <w:t>u mai mulți delegați, reprezentî</w:t>
      </w:r>
      <w:r w:rsidR="00C97D04" w:rsidRPr="000B5910">
        <w:rPr>
          <w:rFonts w:ascii="Times New Roman" w:eastAsia="Times New Roman" w:hAnsi="Times New Roman" w:cs="Times New Roman"/>
          <w:sz w:val="24"/>
          <w:szCs w:val="24"/>
          <w:lang w:val="ro-RO"/>
        </w:rPr>
        <w:t>nd agenții guvernamentale de conducere, preferabil cu responsabilitatea pentru siguranța și securitatea sportului și</w:t>
      </w:r>
      <w:r w:rsidR="00F20A54" w:rsidRPr="000B5910">
        <w:rPr>
          <w:rFonts w:ascii="Times New Roman" w:eastAsia="Times New Roman" w:hAnsi="Times New Roman" w:cs="Times New Roman"/>
          <w:sz w:val="24"/>
          <w:szCs w:val="24"/>
          <w:lang w:val="ro-RO"/>
        </w:rPr>
        <w:t xml:space="preserve"> puncte de informare a fotbalului naţional la secţiile de poliţie</w:t>
      </w:r>
      <w:r w:rsidR="00C97D04" w:rsidRPr="000B5910">
        <w:rPr>
          <w:rFonts w:ascii="Times New Roman" w:eastAsia="Times New Roman" w:hAnsi="Times New Roman" w:cs="Times New Roman"/>
          <w:sz w:val="24"/>
          <w:szCs w:val="24"/>
          <w:lang w:val="ro-RO"/>
        </w:rPr>
        <w:t xml:space="preserve">. Fiece Parte a prezentei Convenții va avea </w:t>
      </w:r>
      <w:r w:rsidR="00CF31DE" w:rsidRPr="000B5910">
        <w:rPr>
          <w:rFonts w:ascii="Times New Roman" w:eastAsia="Times New Roman" w:hAnsi="Times New Roman" w:cs="Times New Roman"/>
          <w:sz w:val="24"/>
          <w:szCs w:val="24"/>
          <w:lang w:val="ro-RO"/>
        </w:rPr>
        <w:t xml:space="preserve">cîte </w:t>
      </w:r>
      <w:r w:rsidR="00C97D04" w:rsidRPr="000B5910">
        <w:rPr>
          <w:rFonts w:ascii="Times New Roman" w:eastAsia="Times New Roman" w:hAnsi="Times New Roman" w:cs="Times New Roman"/>
          <w:sz w:val="24"/>
          <w:szCs w:val="24"/>
          <w:lang w:val="ro-RO"/>
        </w:rPr>
        <w:t>un vot.</w:t>
      </w:r>
    </w:p>
    <w:p w:rsidR="00A218B4" w:rsidRPr="000B5910" w:rsidRDefault="00C97D04" w:rsidP="000B5910">
      <w:pPr>
        <w:spacing w:after="120" w:line="240" w:lineRule="auto"/>
        <w:jc w:val="both"/>
        <w:rPr>
          <w:rFonts w:ascii="Times New Roman" w:eastAsia="Times New Roman" w:hAnsi="Times New Roman" w:cs="Times New Roman"/>
          <w:sz w:val="24"/>
          <w:szCs w:val="24"/>
          <w:lang w:val="ro-RO"/>
        </w:rPr>
      </w:pPr>
      <w:r w:rsidRPr="000B5910">
        <w:rPr>
          <w:rFonts w:ascii="Times New Roman" w:eastAsia="Times New Roman" w:hAnsi="Times New Roman" w:cs="Times New Roman"/>
          <w:sz w:val="24"/>
          <w:szCs w:val="24"/>
          <w:lang w:val="ro-RO"/>
        </w:rPr>
        <w:t xml:space="preserve">Comitetul </w:t>
      </w:r>
      <w:r w:rsidR="000D05A9" w:rsidRPr="000B5910">
        <w:rPr>
          <w:rFonts w:ascii="Times New Roman" w:hAnsi="Times New Roman" w:cs="Times New Roman"/>
          <w:sz w:val="24"/>
          <w:szCs w:val="24"/>
          <w:lang w:val="ro-RO"/>
        </w:rPr>
        <w:t>P</w:t>
      </w:r>
      <w:r w:rsidRPr="000B5910">
        <w:rPr>
          <w:rFonts w:ascii="Times New Roman" w:hAnsi="Times New Roman" w:cs="Times New Roman"/>
          <w:sz w:val="24"/>
          <w:szCs w:val="24"/>
          <w:lang w:val="ro-RO"/>
        </w:rPr>
        <w:t xml:space="preserve">ermanent </w:t>
      </w:r>
      <w:r w:rsidRPr="000B5910">
        <w:rPr>
          <w:rFonts w:ascii="Times New Roman" w:eastAsia="Times New Roman" w:hAnsi="Times New Roman" w:cs="Times New Roman"/>
          <w:sz w:val="24"/>
          <w:szCs w:val="24"/>
          <w:lang w:val="ro-RO"/>
        </w:rPr>
        <w:t>va fi convocat de către Secretarul General al</w:t>
      </w:r>
      <w:r w:rsidR="000D05A9" w:rsidRPr="000B5910">
        <w:rPr>
          <w:rFonts w:ascii="Times New Roman" w:eastAsia="Times New Roman" w:hAnsi="Times New Roman" w:cs="Times New Roman"/>
          <w:sz w:val="24"/>
          <w:szCs w:val="24"/>
          <w:lang w:val="ro-RO"/>
        </w:rPr>
        <w:t xml:space="preserve"> Consiliului Europei. Prima întî</w:t>
      </w:r>
      <w:r w:rsidRPr="000B5910">
        <w:rPr>
          <w:rFonts w:ascii="Times New Roman" w:eastAsia="Times New Roman" w:hAnsi="Times New Roman" w:cs="Times New Roman"/>
          <w:sz w:val="24"/>
          <w:szCs w:val="24"/>
          <w:lang w:val="ro-RO"/>
        </w:rPr>
        <w:t>lnire va avea loc în decursul u</w:t>
      </w:r>
      <w:r w:rsidR="00981265" w:rsidRPr="000B5910">
        <w:rPr>
          <w:rFonts w:ascii="Times New Roman" w:eastAsia="Times New Roman" w:hAnsi="Times New Roman" w:cs="Times New Roman"/>
          <w:sz w:val="24"/>
          <w:szCs w:val="24"/>
          <w:lang w:val="ro-RO"/>
        </w:rPr>
        <w:t>nui an de la data în care zece s</w:t>
      </w:r>
      <w:r w:rsidRPr="000B5910">
        <w:rPr>
          <w:rFonts w:ascii="Times New Roman" w:eastAsia="Times New Roman" w:hAnsi="Times New Roman" w:cs="Times New Roman"/>
          <w:sz w:val="24"/>
          <w:szCs w:val="24"/>
          <w:lang w:val="ro-RO"/>
        </w:rPr>
        <w:t>tate membre ale Consiliului E</w:t>
      </w:r>
      <w:r w:rsidR="000D05A9" w:rsidRPr="000B5910">
        <w:rPr>
          <w:rFonts w:ascii="Times New Roman" w:eastAsia="Times New Roman" w:hAnsi="Times New Roman" w:cs="Times New Roman"/>
          <w:sz w:val="24"/>
          <w:szCs w:val="24"/>
          <w:lang w:val="ro-RO"/>
        </w:rPr>
        <w:t>uropei și-au exprimat consimțămî</w:t>
      </w:r>
      <w:r w:rsidR="00981265" w:rsidRPr="000B5910">
        <w:rPr>
          <w:rFonts w:ascii="Times New Roman" w:eastAsia="Times New Roman" w:hAnsi="Times New Roman" w:cs="Times New Roman"/>
          <w:sz w:val="24"/>
          <w:szCs w:val="24"/>
          <w:lang w:val="ro-RO"/>
        </w:rPr>
        <w:t>ntul</w:t>
      </w:r>
      <w:r w:rsidRPr="000B5910">
        <w:rPr>
          <w:rFonts w:ascii="Times New Roman" w:eastAsia="Times New Roman" w:hAnsi="Times New Roman" w:cs="Times New Roman"/>
          <w:sz w:val="24"/>
          <w:szCs w:val="24"/>
          <w:lang w:val="ro-RO"/>
        </w:rPr>
        <w:t>. Ulterior se vor întruni cel puțin</w:t>
      </w:r>
      <w:r w:rsidR="000D05A9" w:rsidRPr="000B5910">
        <w:rPr>
          <w:rFonts w:ascii="Times New Roman" w:eastAsia="Times New Roman" w:hAnsi="Times New Roman" w:cs="Times New Roman"/>
          <w:sz w:val="24"/>
          <w:szCs w:val="24"/>
          <w:lang w:val="ro-RO"/>
        </w:rPr>
        <w:t xml:space="preserve"> o</w:t>
      </w:r>
      <w:r w:rsidR="00981265" w:rsidRPr="000B5910">
        <w:rPr>
          <w:rFonts w:ascii="Times New Roman" w:eastAsia="Times New Roman" w:hAnsi="Times New Roman" w:cs="Times New Roman"/>
          <w:sz w:val="24"/>
          <w:szCs w:val="24"/>
          <w:lang w:val="ro-RO"/>
        </w:rPr>
        <w:t xml:space="preserve"> </w:t>
      </w:r>
      <w:r w:rsidR="000D05A9" w:rsidRPr="000B5910">
        <w:rPr>
          <w:rFonts w:ascii="Times New Roman" w:eastAsia="Times New Roman" w:hAnsi="Times New Roman" w:cs="Times New Roman"/>
          <w:sz w:val="24"/>
          <w:szCs w:val="24"/>
          <w:lang w:val="ro-RO"/>
        </w:rPr>
        <w:t>dată pe an după prima lor întîlnire. În plus, se vor întîlni atunci cî</w:t>
      </w:r>
      <w:r w:rsidRPr="000B5910">
        <w:rPr>
          <w:rFonts w:ascii="Times New Roman" w:eastAsia="Times New Roman" w:hAnsi="Times New Roman" w:cs="Times New Roman"/>
          <w:sz w:val="24"/>
          <w:szCs w:val="24"/>
          <w:lang w:val="ro-RO"/>
        </w:rPr>
        <w:t xml:space="preserve">nd majoritatea dintre Părți vor solicita aceasta. </w:t>
      </w:r>
      <w:r w:rsidR="000D05A9" w:rsidRPr="000B5910">
        <w:rPr>
          <w:rFonts w:ascii="Times New Roman" w:eastAsia="Times New Roman" w:hAnsi="Times New Roman" w:cs="Times New Roman"/>
          <w:sz w:val="24"/>
          <w:szCs w:val="24"/>
          <w:lang w:val="ro-RO"/>
        </w:rPr>
        <w:t>Majoritatea p</w:t>
      </w:r>
      <w:r w:rsidRPr="000B5910">
        <w:rPr>
          <w:rFonts w:ascii="Times New Roman" w:eastAsia="Times New Roman" w:hAnsi="Times New Roman" w:cs="Times New Roman"/>
          <w:sz w:val="24"/>
          <w:szCs w:val="24"/>
          <w:lang w:val="ro-RO"/>
        </w:rPr>
        <w:t xml:space="preserve">ărților vor constitui un cvorum pentru a </w:t>
      </w:r>
      <w:r w:rsidR="000D05A9" w:rsidRPr="000B5910">
        <w:rPr>
          <w:rFonts w:ascii="Times New Roman" w:eastAsia="Times New Roman" w:hAnsi="Times New Roman" w:cs="Times New Roman"/>
          <w:sz w:val="24"/>
          <w:szCs w:val="24"/>
          <w:lang w:val="ro-RO"/>
        </w:rPr>
        <w:t>desfășura</w:t>
      </w:r>
      <w:r w:rsidRPr="000B5910">
        <w:rPr>
          <w:rFonts w:ascii="Times New Roman" w:eastAsia="Times New Roman" w:hAnsi="Times New Roman" w:cs="Times New Roman"/>
          <w:sz w:val="24"/>
          <w:szCs w:val="24"/>
          <w:lang w:val="ro-RO"/>
        </w:rPr>
        <w:t xml:space="preserve"> o</w:t>
      </w:r>
      <w:r w:rsidR="000D05A9" w:rsidRPr="000B5910">
        <w:rPr>
          <w:rFonts w:ascii="Times New Roman" w:eastAsia="Times New Roman" w:hAnsi="Times New Roman" w:cs="Times New Roman"/>
          <w:sz w:val="24"/>
          <w:szCs w:val="24"/>
          <w:lang w:val="ro-RO"/>
        </w:rPr>
        <w:t xml:space="preserve"> întrevedere</w:t>
      </w:r>
      <w:r w:rsidRPr="000B5910">
        <w:rPr>
          <w:rFonts w:ascii="Times New Roman" w:eastAsia="Times New Roman" w:hAnsi="Times New Roman" w:cs="Times New Roman"/>
          <w:sz w:val="24"/>
          <w:szCs w:val="24"/>
          <w:lang w:val="ro-RO"/>
        </w:rPr>
        <w:t xml:space="preserve"> </w:t>
      </w:r>
      <w:r w:rsidR="000D05A9" w:rsidRPr="000B5910">
        <w:rPr>
          <w:rFonts w:ascii="Times New Roman" w:eastAsia="Times New Roman" w:hAnsi="Times New Roman" w:cs="Times New Roman"/>
          <w:sz w:val="24"/>
          <w:szCs w:val="24"/>
          <w:lang w:val="ro-RO"/>
        </w:rPr>
        <w:t>în cadrul C</w:t>
      </w:r>
      <w:r w:rsidRPr="000B5910">
        <w:rPr>
          <w:rFonts w:ascii="Times New Roman" w:eastAsia="Times New Roman" w:hAnsi="Times New Roman" w:cs="Times New Roman"/>
          <w:sz w:val="24"/>
          <w:szCs w:val="24"/>
          <w:lang w:val="ro-RO"/>
        </w:rPr>
        <w:t>omitetului. Conform p</w:t>
      </w:r>
      <w:r w:rsidR="000D05A9" w:rsidRPr="000B5910">
        <w:rPr>
          <w:rFonts w:ascii="Times New Roman" w:eastAsia="Times New Roman" w:hAnsi="Times New Roman" w:cs="Times New Roman"/>
          <w:sz w:val="24"/>
          <w:szCs w:val="24"/>
          <w:lang w:val="ro-RO"/>
        </w:rPr>
        <w:t>revederilor acestei Convenții, Comitetul Permanent va</w:t>
      </w:r>
      <w:r w:rsidRPr="000B5910">
        <w:rPr>
          <w:rFonts w:ascii="Times New Roman" w:eastAsia="Times New Roman" w:hAnsi="Times New Roman" w:cs="Times New Roman"/>
          <w:sz w:val="24"/>
          <w:szCs w:val="24"/>
          <w:lang w:val="ro-RO"/>
        </w:rPr>
        <w:t xml:space="preserve"> elabora și adopta prin consens</w:t>
      </w:r>
      <w:r w:rsidR="00A218B4" w:rsidRPr="000B5910">
        <w:rPr>
          <w:rFonts w:ascii="Times New Roman" w:eastAsia="Times New Roman" w:hAnsi="Times New Roman" w:cs="Times New Roman"/>
          <w:sz w:val="24"/>
          <w:szCs w:val="24"/>
          <w:lang w:val="ro-RO"/>
        </w:rPr>
        <w:t xml:space="preserve"> propriile reguli de procedură.</w:t>
      </w:r>
    </w:p>
    <w:p w:rsidR="00E27B48" w:rsidRPr="000B5910" w:rsidRDefault="00A218B4" w:rsidP="000B5910">
      <w:pPr>
        <w:spacing w:after="120" w:line="240" w:lineRule="auto"/>
        <w:jc w:val="both"/>
        <w:rPr>
          <w:rFonts w:ascii="Times New Roman" w:eastAsia="Times New Roman" w:hAnsi="Times New Roman" w:cs="Times New Roman"/>
          <w:sz w:val="24"/>
          <w:szCs w:val="24"/>
          <w:lang w:val="ro-RO"/>
        </w:rPr>
      </w:pPr>
      <w:r w:rsidRPr="000B5910">
        <w:rPr>
          <w:rFonts w:ascii="Times New Roman" w:eastAsia="Times New Roman" w:hAnsi="Times New Roman" w:cs="Times New Roman"/>
          <w:sz w:val="24"/>
          <w:szCs w:val="24"/>
          <w:lang w:val="ro-RO"/>
        </w:rPr>
        <w:t>Dacă este cazul, în conformitate cu legislația națională și internațională</w:t>
      </w:r>
      <w:r w:rsidR="000D05A9" w:rsidRPr="000B5910">
        <w:rPr>
          <w:rFonts w:ascii="Times New Roman" w:eastAsia="Times New Roman" w:hAnsi="Times New Roman" w:cs="Times New Roman"/>
          <w:sz w:val="24"/>
          <w:szCs w:val="24"/>
          <w:lang w:val="ro-RO"/>
        </w:rPr>
        <w:t>, p</w:t>
      </w:r>
      <w:r w:rsidRPr="000B5910">
        <w:rPr>
          <w:rFonts w:ascii="Times New Roman" w:eastAsia="Times New Roman" w:hAnsi="Times New Roman" w:cs="Times New Roman"/>
          <w:sz w:val="24"/>
          <w:szCs w:val="24"/>
          <w:lang w:val="ro-RO"/>
        </w:rPr>
        <w:t>ărțile vor lua în considerare abilitarea autorităților administrative sau juridice, responsabile de sancționarea persoanelor care au cauzat sau contribuit la incidente violente și/sau dezordine legate de fotbal, cu posibilitatea de a impune restricții de călătorie la evenimente spo</w:t>
      </w:r>
      <w:r w:rsidR="00E27B48" w:rsidRPr="000B5910">
        <w:rPr>
          <w:rFonts w:ascii="Times New Roman" w:eastAsia="Times New Roman" w:hAnsi="Times New Roman" w:cs="Times New Roman"/>
          <w:sz w:val="24"/>
          <w:szCs w:val="24"/>
          <w:lang w:val="ro-RO"/>
        </w:rPr>
        <w:t>rtive desfășurate în altă țară.</w:t>
      </w:r>
    </w:p>
    <w:p w:rsidR="00E27B48" w:rsidRPr="000B5910" w:rsidRDefault="00A218B4" w:rsidP="000B5910">
      <w:pPr>
        <w:spacing w:after="120" w:line="240" w:lineRule="auto"/>
        <w:jc w:val="both"/>
        <w:rPr>
          <w:rFonts w:ascii="Times New Roman" w:eastAsia="Times New Roman" w:hAnsi="Times New Roman" w:cs="Times New Roman"/>
          <w:sz w:val="24"/>
          <w:lang w:val="ro-RO"/>
        </w:rPr>
      </w:pPr>
      <w:r w:rsidRPr="000B5910">
        <w:rPr>
          <w:rFonts w:ascii="Times New Roman" w:eastAsia="Times New Roman" w:hAnsi="Times New Roman" w:cs="Times New Roman"/>
          <w:sz w:val="24"/>
          <w:lang w:val="ro-RO"/>
        </w:rPr>
        <w:lastRenderedPageBreak/>
        <w:t>Oric</w:t>
      </w:r>
      <w:r w:rsidR="00981265" w:rsidRPr="000B5910">
        <w:rPr>
          <w:rFonts w:ascii="Times New Roman" w:eastAsia="Times New Roman" w:hAnsi="Times New Roman" w:cs="Times New Roman"/>
          <w:sz w:val="24"/>
          <w:lang w:val="ro-RO"/>
        </w:rPr>
        <w:t>e amendament propus de către o p</w:t>
      </w:r>
      <w:r w:rsidRPr="000B5910">
        <w:rPr>
          <w:rFonts w:ascii="Times New Roman" w:eastAsia="Times New Roman" w:hAnsi="Times New Roman" w:cs="Times New Roman"/>
          <w:sz w:val="24"/>
          <w:lang w:val="ro-RO"/>
        </w:rPr>
        <w:t>arte sau de către Comitetul Miniștrilor va fi co</w:t>
      </w:r>
      <w:r w:rsidR="000D05A9" w:rsidRPr="000B5910">
        <w:rPr>
          <w:rFonts w:ascii="Times New Roman" w:eastAsia="Times New Roman" w:hAnsi="Times New Roman" w:cs="Times New Roman"/>
          <w:sz w:val="24"/>
          <w:lang w:val="ro-RO"/>
        </w:rPr>
        <w:t>municat C</w:t>
      </w:r>
      <w:r w:rsidRPr="000B5910">
        <w:rPr>
          <w:rFonts w:ascii="Times New Roman" w:eastAsia="Times New Roman" w:hAnsi="Times New Roman" w:cs="Times New Roman"/>
          <w:sz w:val="24"/>
          <w:lang w:val="ro-RO"/>
        </w:rPr>
        <w:t xml:space="preserve">omitetului </w:t>
      </w:r>
      <w:r w:rsidR="000D05A9" w:rsidRPr="000B5910">
        <w:rPr>
          <w:rFonts w:ascii="Times New Roman" w:eastAsia="Times New Roman" w:hAnsi="Times New Roman" w:cs="Times New Roman"/>
          <w:sz w:val="24"/>
          <w:lang w:val="ro-RO"/>
        </w:rPr>
        <w:t xml:space="preserve">Permanent </w:t>
      </w:r>
      <w:r w:rsidRPr="000B5910">
        <w:rPr>
          <w:rFonts w:ascii="Times New Roman" w:eastAsia="Times New Roman" w:hAnsi="Times New Roman" w:cs="Times New Roman"/>
          <w:sz w:val="24"/>
          <w:lang w:val="ro-RO"/>
        </w:rPr>
        <w:t xml:space="preserve">cu cel puțin două luni înainte de întrunire, în cadrul căruia să fie luată în considerare. Comitetul </w:t>
      </w:r>
      <w:r w:rsidR="000D05A9" w:rsidRPr="000B5910">
        <w:rPr>
          <w:rFonts w:ascii="Times New Roman" w:eastAsia="Times New Roman" w:hAnsi="Times New Roman" w:cs="Times New Roman"/>
          <w:sz w:val="24"/>
          <w:lang w:val="ro-RO"/>
        </w:rPr>
        <w:t xml:space="preserve">Permanent </w:t>
      </w:r>
      <w:r w:rsidRPr="000B5910">
        <w:rPr>
          <w:rFonts w:ascii="Times New Roman" w:eastAsia="Times New Roman" w:hAnsi="Times New Roman" w:cs="Times New Roman"/>
          <w:sz w:val="24"/>
          <w:lang w:val="ro-RO"/>
        </w:rPr>
        <w:t>va prezenta opinia asupra amendamentului propus Comitetului de Miniștri care va lua în considerare amendamentul propus și orice opinie înaintată și poate adopta amendamentul prin majoritate</w:t>
      </w:r>
      <w:r w:rsidR="00E27B48" w:rsidRPr="000B5910">
        <w:rPr>
          <w:rFonts w:ascii="Times New Roman" w:eastAsia="Times New Roman" w:hAnsi="Times New Roman" w:cs="Times New Roman"/>
          <w:sz w:val="24"/>
          <w:lang w:val="ro-RO"/>
        </w:rPr>
        <w:t xml:space="preserve">. </w:t>
      </w:r>
      <w:r w:rsidRPr="000B5910">
        <w:rPr>
          <w:rFonts w:ascii="Times New Roman" w:eastAsia="Times New Roman" w:hAnsi="Times New Roman" w:cs="Times New Roman"/>
          <w:sz w:val="24"/>
          <w:lang w:val="ro-RO"/>
        </w:rPr>
        <w:t>Textul oricărui amendament adoptat de către Comitetul de Miniștri</w:t>
      </w:r>
      <w:r w:rsidR="000D05A9" w:rsidRPr="000B5910">
        <w:rPr>
          <w:rFonts w:ascii="Times New Roman" w:eastAsia="Times New Roman" w:hAnsi="Times New Roman" w:cs="Times New Roman"/>
          <w:sz w:val="24"/>
          <w:lang w:val="ro-RO"/>
        </w:rPr>
        <w:t>,</w:t>
      </w:r>
      <w:r w:rsidRPr="000B5910">
        <w:rPr>
          <w:rFonts w:ascii="Times New Roman" w:eastAsia="Times New Roman" w:hAnsi="Times New Roman" w:cs="Times New Roman"/>
          <w:sz w:val="24"/>
          <w:lang w:val="ro-RO"/>
        </w:rPr>
        <w:t xml:space="preserve"> </w:t>
      </w:r>
      <w:r w:rsidR="000D05A9" w:rsidRPr="000B5910">
        <w:rPr>
          <w:rFonts w:ascii="Times New Roman" w:eastAsia="Times New Roman" w:hAnsi="Times New Roman" w:cs="Times New Roman"/>
          <w:sz w:val="24"/>
          <w:lang w:val="ro-RO"/>
        </w:rPr>
        <w:t>va fi înaintat p</w:t>
      </w:r>
      <w:r w:rsidRPr="000B5910">
        <w:rPr>
          <w:rFonts w:ascii="Times New Roman" w:eastAsia="Times New Roman" w:hAnsi="Times New Roman" w:cs="Times New Roman"/>
          <w:sz w:val="24"/>
          <w:lang w:val="ro-RO"/>
        </w:rPr>
        <w:t>ărților</w:t>
      </w:r>
      <w:r w:rsidR="000D05A9" w:rsidRPr="000B5910">
        <w:rPr>
          <w:rFonts w:ascii="Times New Roman" w:eastAsia="Times New Roman" w:hAnsi="Times New Roman" w:cs="Times New Roman"/>
          <w:sz w:val="24"/>
          <w:lang w:val="ro-RO"/>
        </w:rPr>
        <w:t xml:space="preserve"> la tratat</w:t>
      </w:r>
      <w:r w:rsidRPr="000B5910">
        <w:rPr>
          <w:rFonts w:ascii="Times New Roman" w:eastAsia="Times New Roman" w:hAnsi="Times New Roman" w:cs="Times New Roman"/>
          <w:sz w:val="24"/>
          <w:lang w:val="ro-RO"/>
        </w:rPr>
        <w:t xml:space="preserve"> spre acceptare în conformitate cu procedurile lor interne respective și va intra în vigoare în prima zi a lunii </w:t>
      </w:r>
      <w:r w:rsidR="000D05A9" w:rsidRPr="000B5910">
        <w:rPr>
          <w:rFonts w:ascii="Times New Roman" w:eastAsia="Times New Roman" w:hAnsi="Times New Roman" w:cs="Times New Roman"/>
          <w:sz w:val="24"/>
          <w:lang w:val="ro-RO"/>
        </w:rPr>
        <w:t>următoare, după ce toate p</w:t>
      </w:r>
      <w:r w:rsidRPr="000B5910">
        <w:rPr>
          <w:rFonts w:ascii="Times New Roman" w:eastAsia="Times New Roman" w:hAnsi="Times New Roman" w:cs="Times New Roman"/>
          <w:sz w:val="24"/>
          <w:lang w:val="ro-RO"/>
        </w:rPr>
        <w:t>ărțile au informat Secretar</w:t>
      </w:r>
      <w:r w:rsidR="00E27B48" w:rsidRPr="000B5910">
        <w:rPr>
          <w:rFonts w:ascii="Times New Roman" w:eastAsia="Times New Roman" w:hAnsi="Times New Roman" w:cs="Times New Roman"/>
          <w:sz w:val="24"/>
          <w:lang w:val="ro-RO"/>
        </w:rPr>
        <w:t>ul General despre acceptul lor.</w:t>
      </w:r>
    </w:p>
    <w:p w:rsidR="00E27B48" w:rsidRPr="000B5910" w:rsidRDefault="00981265" w:rsidP="000B5910">
      <w:pPr>
        <w:spacing w:line="240" w:lineRule="auto"/>
        <w:jc w:val="both"/>
        <w:rPr>
          <w:rFonts w:ascii="Times New Roman" w:eastAsia="Times New Roman" w:hAnsi="Times New Roman" w:cs="Times New Roman"/>
          <w:sz w:val="24"/>
          <w:szCs w:val="24"/>
          <w:lang w:val="ro-RO"/>
        </w:rPr>
      </w:pPr>
      <w:r w:rsidRPr="000B5910">
        <w:rPr>
          <w:rFonts w:ascii="Times New Roman" w:hAnsi="Times New Roman" w:cs="Times New Roman"/>
          <w:sz w:val="24"/>
          <w:szCs w:val="24"/>
          <w:lang w:val="ro-RO"/>
        </w:rPr>
        <w:t>Orice s</w:t>
      </w:r>
      <w:r w:rsidR="00E27B48" w:rsidRPr="000B5910">
        <w:rPr>
          <w:rFonts w:ascii="Times New Roman" w:hAnsi="Times New Roman" w:cs="Times New Roman"/>
          <w:sz w:val="24"/>
          <w:szCs w:val="24"/>
          <w:lang w:val="ro-RO"/>
        </w:rPr>
        <w:t>tat poate, în momentul semnării sau depunerii documentului său de ratificare, acceptare, aprobare sau aderare, să specifice teritoriul sau teritoriile, în cadrul cărora</w:t>
      </w:r>
      <w:r w:rsidR="003C5845" w:rsidRPr="000B5910">
        <w:rPr>
          <w:rFonts w:ascii="Times New Roman" w:hAnsi="Times New Roman" w:cs="Times New Roman"/>
          <w:sz w:val="24"/>
          <w:szCs w:val="24"/>
          <w:lang w:val="ro-RO"/>
        </w:rPr>
        <w:t xml:space="preserve"> prezenta Convenție</w:t>
      </w:r>
      <w:r w:rsidR="00E27B48" w:rsidRPr="000B5910">
        <w:rPr>
          <w:rFonts w:ascii="Times New Roman" w:hAnsi="Times New Roman" w:cs="Times New Roman"/>
          <w:sz w:val="24"/>
          <w:szCs w:val="24"/>
          <w:lang w:val="ro-RO"/>
        </w:rPr>
        <w:t xml:space="preserve"> se va aplica. </w:t>
      </w:r>
    </w:p>
    <w:p w:rsidR="003A0F71" w:rsidRPr="000B5910" w:rsidRDefault="003A0F71" w:rsidP="000B5910">
      <w:pPr>
        <w:spacing w:before="120" w:after="120" w:line="240" w:lineRule="auto"/>
        <w:jc w:val="both"/>
        <w:rPr>
          <w:rFonts w:ascii="Times New Roman" w:hAnsi="Times New Roman" w:cs="Times New Roman"/>
          <w:b/>
          <w:sz w:val="24"/>
          <w:szCs w:val="24"/>
          <w:lang w:val="ro-RO"/>
        </w:rPr>
      </w:pPr>
      <w:r w:rsidRPr="000B5910">
        <w:rPr>
          <w:rFonts w:ascii="Times New Roman" w:hAnsi="Times New Roman" w:cs="Times New Roman"/>
          <w:b/>
          <w:sz w:val="24"/>
          <w:szCs w:val="24"/>
          <w:lang w:val="ro-RO"/>
        </w:rPr>
        <w:t>B. Analiza de impact</w:t>
      </w:r>
    </w:p>
    <w:p w:rsidR="00B86B85" w:rsidRPr="000B5910" w:rsidRDefault="00B86B85" w:rsidP="000B5910">
      <w:pPr>
        <w:spacing w:before="120" w:after="120" w:line="240" w:lineRule="auto"/>
        <w:jc w:val="both"/>
        <w:rPr>
          <w:rFonts w:ascii="Times New Roman" w:eastAsia="Calibri" w:hAnsi="Times New Roman" w:cs="Times New Roman"/>
          <w:sz w:val="24"/>
          <w:szCs w:val="24"/>
          <w:lang w:val="ro-RO"/>
        </w:rPr>
      </w:pPr>
      <w:r w:rsidRPr="000B5910">
        <w:rPr>
          <w:rFonts w:ascii="Times New Roman" w:hAnsi="Times New Roman" w:cs="Times New Roman"/>
          <w:sz w:val="24"/>
          <w:szCs w:val="24"/>
          <w:u w:val="single"/>
          <w:lang w:val="ro-RO"/>
        </w:rPr>
        <w:t>Aspectul politic, cultural și social.</w:t>
      </w:r>
      <w:r w:rsidRPr="000B5910">
        <w:rPr>
          <w:rFonts w:ascii="Times New Roman" w:hAnsi="Times New Roman" w:cs="Times New Roman"/>
          <w:sz w:val="24"/>
          <w:szCs w:val="24"/>
          <w:lang w:val="ro-RO"/>
        </w:rPr>
        <w:t xml:space="preserve"> Aprobarea semnării se consideră necesară din punct de vedere politic, inclusiv al obiectivului de realizare de către Republica Moldova a obligaţiilor de asigurare a securității în domeniul sportului, asumate în cadrul Consililui Europei.</w:t>
      </w:r>
      <w:r w:rsidRPr="000B5910">
        <w:rPr>
          <w:rFonts w:ascii="Times New Roman" w:eastAsia="Calibri" w:hAnsi="Times New Roman" w:cs="Times New Roman"/>
          <w:sz w:val="24"/>
          <w:szCs w:val="24"/>
          <w:lang w:val="ro-RO"/>
        </w:rPr>
        <w:t xml:space="preserve"> Țara noastră este gazda mai multor evenimente sportive internaţionale, iar buna desfășurare a acestora ne va pune într-o lumină favorabilă imaginea țării şi vom fi apreciați la nivel internaţional pe dimensiunea sportivă.</w:t>
      </w:r>
    </w:p>
    <w:p w:rsidR="00B86B85" w:rsidRPr="000B5910" w:rsidRDefault="00B86B85" w:rsidP="000B5910">
      <w:pPr>
        <w:pStyle w:val="a3"/>
        <w:shd w:val="clear" w:color="auto" w:fill="FFFFFF" w:themeFill="background1"/>
        <w:spacing w:before="120" w:beforeAutospacing="0" w:after="120" w:afterAutospacing="0"/>
        <w:jc w:val="both"/>
        <w:rPr>
          <w:lang w:val="ro-RO"/>
        </w:rPr>
      </w:pPr>
      <w:r w:rsidRPr="000B5910">
        <w:rPr>
          <w:u w:val="single"/>
          <w:lang w:val="ro-RO"/>
        </w:rPr>
        <w:t>Aspectul economic și de mediu.</w:t>
      </w:r>
      <w:r w:rsidRPr="000B5910">
        <w:rPr>
          <w:b/>
          <w:lang w:val="ro-RO"/>
        </w:rPr>
        <w:t xml:space="preserve"> </w:t>
      </w:r>
      <w:r w:rsidRPr="000B5910">
        <w:rPr>
          <w:lang w:val="ro-RO"/>
        </w:rPr>
        <w:t>Procedura de facto a aprobării semnării Convenției nu va crea consecinţe negative pentru economia Republicii Moldova. Statutul de stat membru va permite dezvoltarea fructuoasă a relațiilor de colaborare în domeniul sportului.</w:t>
      </w:r>
    </w:p>
    <w:p w:rsidR="00B86B85" w:rsidRPr="000B5910" w:rsidRDefault="00B86B85" w:rsidP="000B5910">
      <w:pPr>
        <w:pStyle w:val="a3"/>
        <w:shd w:val="clear" w:color="auto" w:fill="FFFFFF" w:themeFill="background1"/>
        <w:spacing w:before="0" w:beforeAutospacing="0" w:after="120" w:afterAutospacing="0"/>
        <w:jc w:val="both"/>
        <w:rPr>
          <w:lang w:val="ro-RO"/>
        </w:rPr>
      </w:pPr>
      <w:r w:rsidRPr="000B5910">
        <w:rPr>
          <w:u w:val="single"/>
          <w:lang w:val="ro-RO"/>
        </w:rPr>
        <w:t>Aspectul normativ.</w:t>
      </w:r>
      <w:r w:rsidRPr="000B5910">
        <w:rPr>
          <w:b/>
          <w:lang w:val="ro-RO"/>
        </w:rPr>
        <w:t xml:space="preserve"> </w:t>
      </w:r>
      <w:r w:rsidRPr="000B5910">
        <w:rPr>
          <w:lang w:val="ro-RO"/>
        </w:rPr>
        <w:t xml:space="preserve">Prevederile Convenţiei nu contravin tratatelor internaţionale la care Republica Moldova este parte. Aceasta este compatibilă cu prevederile Constituției Republicii Moldova, cu Carta ONU și angajamentele Republicii Moldova asumate la nivel internațional și regional. </w:t>
      </w:r>
      <w:r w:rsidR="00D31CE7" w:rsidRPr="000B5910">
        <w:rPr>
          <w:lang w:val="ro-RO"/>
        </w:rPr>
        <w:t xml:space="preserve">După semnarea Convenției, prevederile acesteia urmează a fi implementate prin modificări și completări la codul penal, codul contravențional și alte acte legislative și normative interne, astfel încît persoanele recunoscute drept vinovate de acte de violenţă sau de ieşire impulsivă să suporte pedepse sau măsuri </w:t>
      </w:r>
      <w:r w:rsidR="00F00B1A" w:rsidRPr="000B5910">
        <w:rPr>
          <w:lang w:val="ro-RO"/>
        </w:rPr>
        <w:t>administrative corespunzătoare.</w:t>
      </w:r>
    </w:p>
    <w:p w:rsidR="00B86B85" w:rsidRPr="000B5910" w:rsidRDefault="00B86B85" w:rsidP="000B5910">
      <w:pPr>
        <w:pStyle w:val="a3"/>
        <w:shd w:val="clear" w:color="auto" w:fill="FFFFFF" w:themeFill="background1"/>
        <w:spacing w:before="120" w:beforeAutospacing="0" w:after="120" w:afterAutospacing="0"/>
        <w:jc w:val="both"/>
        <w:rPr>
          <w:lang w:val="ro-RO"/>
        </w:rPr>
      </w:pPr>
      <w:r w:rsidRPr="000B5910">
        <w:rPr>
          <w:u w:val="single"/>
          <w:lang w:val="ro-RO"/>
        </w:rPr>
        <w:t>Aspectul instituțional și organizatoric.</w:t>
      </w:r>
      <w:r w:rsidRPr="000B5910">
        <w:rPr>
          <w:b/>
          <w:lang w:val="ro-RO"/>
        </w:rPr>
        <w:t xml:space="preserve"> </w:t>
      </w:r>
      <w:r w:rsidRPr="000B5910">
        <w:rPr>
          <w:lang w:val="ro-RO"/>
        </w:rPr>
        <w:t>Întru realizarea prevederilor</w:t>
      </w:r>
      <w:r w:rsidRPr="000B5910">
        <w:rPr>
          <w:b/>
          <w:lang w:val="ro-RO"/>
        </w:rPr>
        <w:t xml:space="preserve"> </w:t>
      </w:r>
      <w:r w:rsidRPr="000B5910">
        <w:rPr>
          <w:lang w:val="ro-RO"/>
        </w:rPr>
        <w:t>Convenţiei în cauză,</w:t>
      </w:r>
      <w:r w:rsidRPr="000B5910">
        <w:rPr>
          <w:b/>
          <w:lang w:val="ro-RO"/>
        </w:rPr>
        <w:t xml:space="preserve"> </w:t>
      </w:r>
      <w:r w:rsidRPr="000B5910">
        <w:rPr>
          <w:lang w:val="ro-RO"/>
        </w:rPr>
        <w:t xml:space="preserve">nu este necesar de a înfiinţa structuri noi sau de a le modifica pe cele existente. </w:t>
      </w:r>
    </w:p>
    <w:p w:rsidR="00B86B85" w:rsidRPr="000B5910" w:rsidRDefault="00B86B85" w:rsidP="000B5910">
      <w:pPr>
        <w:pStyle w:val="a3"/>
        <w:shd w:val="clear" w:color="auto" w:fill="FFFFFF" w:themeFill="background1"/>
        <w:spacing w:before="120" w:beforeAutospacing="0" w:after="120" w:afterAutospacing="0"/>
        <w:jc w:val="both"/>
        <w:rPr>
          <w:lang w:val="ro-RO"/>
        </w:rPr>
      </w:pPr>
      <w:r w:rsidRPr="000B5910">
        <w:rPr>
          <w:u w:val="single"/>
          <w:lang w:val="ro-RO"/>
        </w:rPr>
        <w:t>Aspectul financiar.</w:t>
      </w:r>
      <w:r w:rsidRPr="000B5910">
        <w:rPr>
          <w:b/>
          <w:lang w:val="ro-RO"/>
        </w:rPr>
        <w:t xml:space="preserve"> </w:t>
      </w:r>
      <w:r w:rsidRPr="000B5910">
        <w:rPr>
          <w:lang w:val="ro-RO"/>
        </w:rPr>
        <w:t>Ratificarea prezentei Convenţii nu implică anumite costuri pentru punerea în aplicare a prevederilor acesteia. Activitatea şi calitatea de membru la prezentul instrument juridic va fi acoperită în limita bugetului Ministerului Tineretului și Sportului.</w:t>
      </w:r>
    </w:p>
    <w:p w:rsidR="00D31CE7" w:rsidRPr="000B5910" w:rsidRDefault="00B86B85" w:rsidP="000B5910">
      <w:pPr>
        <w:spacing w:after="120" w:line="240" w:lineRule="auto"/>
        <w:jc w:val="both"/>
        <w:rPr>
          <w:rFonts w:ascii="Times New Roman" w:hAnsi="Times New Roman" w:cs="Times New Roman"/>
          <w:sz w:val="24"/>
          <w:lang w:val="ro-RO"/>
        </w:rPr>
      </w:pPr>
      <w:r w:rsidRPr="000B5910">
        <w:rPr>
          <w:rFonts w:ascii="Times New Roman" w:hAnsi="Times New Roman" w:cs="Times New Roman"/>
          <w:sz w:val="24"/>
          <w:szCs w:val="24"/>
          <w:u w:val="single"/>
          <w:lang w:val="ro-RO"/>
        </w:rPr>
        <w:t>Aspectul temporar.</w:t>
      </w:r>
      <w:r w:rsidRPr="000B5910">
        <w:rPr>
          <w:rFonts w:ascii="Times New Roman" w:hAnsi="Times New Roman" w:cs="Times New Roman"/>
          <w:b/>
          <w:sz w:val="28"/>
          <w:szCs w:val="24"/>
          <w:lang w:val="ro-RO"/>
        </w:rPr>
        <w:t xml:space="preserve"> </w:t>
      </w:r>
      <w:r w:rsidR="00981265" w:rsidRPr="000B5910">
        <w:rPr>
          <w:rFonts w:ascii="Times New Roman" w:hAnsi="Times New Roman" w:cs="Times New Roman"/>
          <w:sz w:val="24"/>
          <w:lang w:val="ro-RO"/>
        </w:rPr>
        <w:t>Prezenta</w:t>
      </w:r>
      <w:r w:rsidR="00D247D2" w:rsidRPr="000B5910">
        <w:rPr>
          <w:rFonts w:ascii="Times New Roman" w:hAnsi="Times New Roman" w:cs="Times New Roman"/>
          <w:sz w:val="24"/>
          <w:lang w:val="ro-RO"/>
        </w:rPr>
        <w:t xml:space="preserve"> Convenție poate fi ratificată, acceptată sau aprobată. Documentele de ratificare, acceptare și aprobare vor fi depuse la Secretarul </w:t>
      </w:r>
      <w:r w:rsidR="00D247D2" w:rsidRPr="000B5910">
        <w:rPr>
          <w:rFonts w:ascii="Times New Roman" w:hAnsi="Times New Roman" w:cs="Times New Roman"/>
          <w:sz w:val="24"/>
          <w:szCs w:val="24"/>
          <w:lang w:val="ro-RO"/>
        </w:rPr>
        <w:t>General al Consiliului Europei.</w:t>
      </w:r>
      <w:r w:rsidR="00672265" w:rsidRPr="000B5910">
        <w:rPr>
          <w:rFonts w:ascii="Times New Roman" w:hAnsi="Times New Roman" w:cs="Times New Roman"/>
          <w:sz w:val="24"/>
          <w:szCs w:val="24"/>
          <w:lang w:val="ro-RO"/>
        </w:rPr>
        <w:t xml:space="preserve"> </w:t>
      </w:r>
      <w:r w:rsidR="0068532D" w:rsidRPr="000B5910">
        <w:rPr>
          <w:rFonts w:ascii="Times New Roman" w:hAnsi="Times New Roman" w:cs="Times New Roman"/>
          <w:sz w:val="24"/>
          <w:lang w:val="ro-RO"/>
        </w:rPr>
        <w:t xml:space="preserve">Convenția va intra în vigoare în prima zi a lunii după expirarea perioadei de o lună de la data în care trei State membre ale Consiliului Europei și-au dat acordul să fie obligate să respecte Convenția. În ceea ce privește statele semnatare, care ulterior își vor exprima acordul de a se obliga să respecte Convenția, aceasta va intra în vigoare în prima zi a lunii de după expirarea perioadei de o lună de la data depunerii documentului de ratificare. </w:t>
      </w:r>
    </w:p>
    <w:p w:rsidR="0068532D" w:rsidRDefault="0068532D" w:rsidP="000B5910">
      <w:pPr>
        <w:spacing w:after="120" w:line="240" w:lineRule="auto"/>
        <w:jc w:val="both"/>
        <w:rPr>
          <w:rFonts w:ascii="Times New Roman" w:eastAsia="Times New Roman" w:hAnsi="Times New Roman" w:cs="Times New Roman"/>
          <w:sz w:val="24"/>
          <w:szCs w:val="24"/>
          <w:lang w:val="ro-RO"/>
        </w:rPr>
      </w:pPr>
      <w:r w:rsidRPr="000B5910">
        <w:rPr>
          <w:rFonts w:ascii="Times New Roman" w:eastAsia="Times New Roman" w:hAnsi="Times New Roman" w:cs="Times New Roman"/>
          <w:sz w:val="24"/>
          <w:szCs w:val="24"/>
          <w:lang w:val="ro-RO"/>
        </w:rPr>
        <w:t>Orice parte, în orice moment, poate denunța această Convenție prin intermediul unei notificări în scris adresate Secretarului General al Consiliului Europei. Această denunțare va deveni efectivă în prima zi a lunii de după expirarea perioadei de șase luni de la data notificării în scris de către Secretarul General.</w:t>
      </w:r>
    </w:p>
    <w:p w:rsidR="00830DFF" w:rsidRDefault="00FD2406" w:rsidP="000B5910">
      <w:pPr>
        <w:spacing w:after="120" w:line="240" w:lineRule="auto"/>
        <w:jc w:val="both"/>
        <w:rPr>
          <w:rFonts w:ascii="Times New Roman" w:eastAsia="Times New Roman" w:hAnsi="Times New Roman" w:cs="Times New Roman"/>
          <w:b/>
          <w:sz w:val="24"/>
          <w:szCs w:val="24"/>
          <w:lang w:val="ro-RO"/>
        </w:rPr>
      </w:pPr>
      <w:r w:rsidRPr="00FD2406">
        <w:rPr>
          <w:rFonts w:ascii="Times New Roman" w:eastAsia="Times New Roman" w:hAnsi="Times New Roman" w:cs="Times New Roman"/>
          <w:b/>
          <w:sz w:val="24"/>
          <w:szCs w:val="24"/>
          <w:lang w:val="ro-RO"/>
        </w:rPr>
        <w:t>C. Analiza oportunității ratificării</w:t>
      </w:r>
    </w:p>
    <w:p w:rsidR="007D5554" w:rsidRPr="00FF7474" w:rsidRDefault="007D5554" w:rsidP="000B5910">
      <w:pPr>
        <w:spacing w:after="120" w:line="240" w:lineRule="auto"/>
        <w:jc w:val="both"/>
        <w:rPr>
          <w:rFonts w:ascii="Times New Roman" w:eastAsia="Times New Roman" w:hAnsi="Times New Roman" w:cs="Times New Roman"/>
          <w:sz w:val="24"/>
          <w:szCs w:val="24"/>
          <w:lang w:val="ro-RO"/>
        </w:rPr>
      </w:pPr>
      <w:r w:rsidRPr="00EE4C93">
        <w:rPr>
          <w:rFonts w:ascii="Times New Roman" w:eastAsia="Times New Roman" w:hAnsi="Times New Roman" w:cs="Times New Roman"/>
          <w:sz w:val="24"/>
          <w:szCs w:val="24"/>
          <w:lang w:val="ro-RO"/>
        </w:rPr>
        <w:t>Potrivit Decretul Președintelui Republicii Moldova nr.2172-VII din 30 iunie 2016 pentru aprobarea Conven</w:t>
      </w:r>
      <w:r w:rsidRPr="00EE4C93">
        <w:rPr>
          <w:rFonts w:ascii="Cambria Math" w:eastAsia="Times New Roman" w:hAnsi="Cambria Math" w:cs="Cambria Math"/>
          <w:sz w:val="24"/>
          <w:szCs w:val="24"/>
          <w:lang w:val="ro-RO"/>
        </w:rPr>
        <w:t>ț</w:t>
      </w:r>
      <w:r w:rsidRPr="00EE4C93">
        <w:rPr>
          <w:rFonts w:ascii="Times New Roman" w:eastAsia="Times New Roman" w:hAnsi="Times New Roman" w:cs="Times New Roman"/>
          <w:sz w:val="24"/>
          <w:szCs w:val="24"/>
          <w:lang w:val="ro-RO"/>
        </w:rPr>
        <w:t>iei Consiliului Europei privind abordarea integrată a siguran</w:t>
      </w:r>
      <w:r w:rsidRPr="00EE4C93">
        <w:rPr>
          <w:rFonts w:ascii="Cambria Math" w:eastAsia="Times New Roman" w:hAnsi="Cambria Math" w:cs="Cambria Math"/>
          <w:sz w:val="24"/>
          <w:szCs w:val="24"/>
          <w:lang w:val="ro-RO"/>
        </w:rPr>
        <w:t>ț</w:t>
      </w:r>
      <w:r w:rsidRPr="00EE4C93">
        <w:rPr>
          <w:rFonts w:ascii="Times New Roman" w:eastAsia="Times New Roman" w:hAnsi="Times New Roman" w:cs="Times New Roman"/>
          <w:sz w:val="24"/>
          <w:szCs w:val="24"/>
          <w:lang w:val="ro-RO"/>
        </w:rPr>
        <w:t>ei, securită</w:t>
      </w:r>
      <w:r w:rsidRPr="00EE4C93">
        <w:rPr>
          <w:rFonts w:ascii="Cambria Math" w:eastAsia="Times New Roman" w:hAnsi="Cambria Math" w:cs="Cambria Math"/>
          <w:sz w:val="24"/>
          <w:szCs w:val="24"/>
          <w:lang w:val="ro-RO"/>
        </w:rPr>
        <w:t>ț</w:t>
      </w:r>
      <w:r w:rsidRPr="00EE4C93">
        <w:rPr>
          <w:rFonts w:ascii="Times New Roman" w:eastAsia="Times New Roman" w:hAnsi="Times New Roman" w:cs="Times New Roman"/>
          <w:sz w:val="24"/>
          <w:szCs w:val="24"/>
          <w:lang w:val="ro-RO"/>
        </w:rPr>
        <w:t xml:space="preserve">ii </w:t>
      </w:r>
      <w:r w:rsidRPr="00EE4C93">
        <w:rPr>
          <w:rFonts w:ascii="Cambria Math" w:eastAsia="Times New Roman" w:hAnsi="Cambria Math" w:cs="Cambria Math"/>
          <w:sz w:val="24"/>
          <w:szCs w:val="24"/>
          <w:lang w:val="ro-RO"/>
        </w:rPr>
        <w:t>ș</w:t>
      </w:r>
      <w:r w:rsidRPr="00EE4C93">
        <w:rPr>
          <w:rFonts w:ascii="Times New Roman" w:eastAsia="Times New Roman" w:hAnsi="Times New Roman" w:cs="Times New Roman"/>
          <w:sz w:val="24"/>
          <w:szCs w:val="24"/>
          <w:lang w:val="ro-RO"/>
        </w:rPr>
        <w:t xml:space="preserve">i deservirii în timpul meciurilor de fotbal </w:t>
      </w:r>
      <w:r w:rsidRPr="00EE4C93">
        <w:rPr>
          <w:rFonts w:ascii="Cambria Math" w:eastAsia="Times New Roman" w:hAnsi="Cambria Math" w:cs="Cambria Math"/>
          <w:sz w:val="24"/>
          <w:szCs w:val="24"/>
          <w:lang w:val="ro-RO"/>
        </w:rPr>
        <w:t>ș</w:t>
      </w:r>
      <w:r w:rsidRPr="00EE4C93">
        <w:rPr>
          <w:rFonts w:ascii="Times New Roman" w:eastAsia="Times New Roman" w:hAnsi="Times New Roman" w:cs="Times New Roman"/>
          <w:sz w:val="24"/>
          <w:szCs w:val="24"/>
          <w:lang w:val="ro-RO"/>
        </w:rPr>
        <w:t>i a altor evenimente sportive</w:t>
      </w:r>
      <w:r>
        <w:rPr>
          <w:rFonts w:ascii="Times New Roman" w:eastAsia="Times New Roman" w:hAnsi="Times New Roman" w:cs="Times New Roman"/>
          <w:sz w:val="24"/>
          <w:szCs w:val="24"/>
          <w:lang w:val="ro-RO"/>
        </w:rPr>
        <w:t>, a fost aprobată semnarea actului juridic internațional nominalizat.</w:t>
      </w:r>
    </w:p>
    <w:p w:rsidR="00FD2406" w:rsidRDefault="00AD2DDB" w:rsidP="000B5910">
      <w:pPr>
        <w:spacing w:after="120" w:line="240" w:lineRule="auto"/>
        <w:jc w:val="both"/>
        <w:rPr>
          <w:rFonts w:ascii="Times New Roman" w:eastAsia="Times New Roman" w:hAnsi="Times New Roman" w:cs="Times New Roman"/>
          <w:sz w:val="24"/>
          <w:szCs w:val="24"/>
          <w:lang w:val="ro-RO"/>
        </w:rPr>
      </w:pPr>
      <w:r w:rsidRPr="00AD2DDB">
        <w:rPr>
          <w:rFonts w:ascii="Times New Roman" w:eastAsia="Times New Roman" w:hAnsi="Times New Roman" w:cs="Times New Roman"/>
          <w:sz w:val="24"/>
          <w:szCs w:val="24"/>
          <w:lang w:val="ro-RO"/>
        </w:rPr>
        <w:lastRenderedPageBreak/>
        <w:t xml:space="preserve">Convenția </w:t>
      </w:r>
      <w:r w:rsidR="00E96EA1">
        <w:rPr>
          <w:rFonts w:ascii="Times New Roman" w:eastAsia="Times New Roman" w:hAnsi="Times New Roman" w:cs="Times New Roman"/>
          <w:sz w:val="24"/>
          <w:szCs w:val="24"/>
          <w:lang w:val="ro-RO"/>
        </w:rPr>
        <w:t xml:space="preserve">Europeană </w:t>
      </w:r>
      <w:r w:rsidRPr="00AD2DDB">
        <w:rPr>
          <w:rFonts w:ascii="Times New Roman" w:eastAsia="Times New Roman" w:hAnsi="Times New Roman" w:cs="Times New Roman"/>
          <w:sz w:val="24"/>
          <w:szCs w:val="24"/>
          <w:lang w:val="ro-RO"/>
        </w:rPr>
        <w:t>a fost semnată de către ministrul tineretului și sportului</w:t>
      </w:r>
      <w:r w:rsidR="00E96EA1">
        <w:rPr>
          <w:rFonts w:ascii="Times New Roman" w:eastAsia="Times New Roman" w:hAnsi="Times New Roman" w:cs="Times New Roman"/>
          <w:sz w:val="24"/>
          <w:szCs w:val="24"/>
          <w:lang w:val="ro-RO"/>
        </w:rPr>
        <w:t>, Victor Zubcu</w:t>
      </w:r>
      <w:r w:rsidR="00FF7474">
        <w:rPr>
          <w:rFonts w:ascii="Times New Roman" w:eastAsia="Times New Roman" w:hAnsi="Times New Roman" w:cs="Times New Roman"/>
          <w:sz w:val="24"/>
          <w:szCs w:val="24"/>
          <w:lang w:val="ro-RO"/>
        </w:rPr>
        <w:t xml:space="preserve"> la 03 iulie 2016, </w:t>
      </w:r>
      <w:r w:rsidR="00E96EA1" w:rsidRPr="000B5910">
        <w:rPr>
          <w:rFonts w:ascii="Times New Roman" w:hAnsi="Times New Roman" w:cs="Times New Roman"/>
          <w:sz w:val="24"/>
          <w:szCs w:val="24"/>
          <w:lang w:val="ro-RO"/>
        </w:rPr>
        <w:t>la ,,Stade de France</w:t>
      </w:r>
      <w:r w:rsidR="00E96EA1" w:rsidRPr="000B5910">
        <w:rPr>
          <w:rFonts w:ascii="Times New Roman" w:hAnsi="Times New Roman" w:cs="Times New Roman"/>
          <w:sz w:val="24"/>
          <w:szCs w:val="24"/>
          <w:lang w:val="en-US"/>
        </w:rPr>
        <w:t>”</w:t>
      </w:r>
      <w:r w:rsidR="00E96EA1">
        <w:rPr>
          <w:rFonts w:ascii="Times New Roman" w:hAnsi="Times New Roman" w:cs="Times New Roman"/>
          <w:sz w:val="24"/>
          <w:szCs w:val="24"/>
          <w:lang w:val="en-US"/>
        </w:rPr>
        <w:t>,</w:t>
      </w:r>
      <w:r w:rsidR="00E96EA1" w:rsidRPr="000B5910">
        <w:rPr>
          <w:rFonts w:ascii="Times New Roman" w:hAnsi="Times New Roman" w:cs="Times New Roman"/>
          <w:sz w:val="24"/>
          <w:szCs w:val="24"/>
          <w:lang w:val="en-US"/>
        </w:rPr>
        <w:t xml:space="preserve"> </w:t>
      </w:r>
      <w:r w:rsidRPr="00AD2DDB">
        <w:rPr>
          <w:rFonts w:ascii="Times New Roman" w:eastAsia="Times New Roman" w:hAnsi="Times New Roman" w:cs="Times New Roman"/>
          <w:sz w:val="24"/>
          <w:szCs w:val="24"/>
          <w:lang w:val="ro-RO"/>
        </w:rPr>
        <w:t>în Republica Franceză, or. Saint Denis</w:t>
      </w:r>
      <w:r w:rsidR="00EC4C02">
        <w:rPr>
          <w:rFonts w:ascii="Times New Roman" w:eastAsia="Times New Roman" w:hAnsi="Times New Roman" w:cs="Times New Roman"/>
          <w:sz w:val="24"/>
          <w:szCs w:val="24"/>
          <w:lang w:val="ro-RO"/>
        </w:rPr>
        <w:t>, cu ocazia celei de a 4 finale UEFA Euro 2016. Republica Moldova este membru al CoE</w:t>
      </w:r>
      <w:r w:rsidRPr="00AD2DDB">
        <w:rPr>
          <w:rFonts w:ascii="Times New Roman" w:eastAsia="Times New Roman" w:hAnsi="Times New Roman" w:cs="Times New Roman"/>
          <w:sz w:val="24"/>
          <w:szCs w:val="24"/>
          <w:lang w:val="ro-RO"/>
        </w:rPr>
        <w:t>.</w:t>
      </w:r>
    </w:p>
    <w:p w:rsidR="003B0FEA" w:rsidRPr="004B4C1A" w:rsidRDefault="006459DE" w:rsidP="000B5910">
      <w:pPr>
        <w:spacing w:after="120" w:line="240" w:lineRule="auto"/>
        <w:jc w:val="both"/>
        <w:rPr>
          <w:rFonts w:ascii="Times New Roman" w:eastAsia="Times New Roman" w:hAnsi="Times New Roman" w:cs="Times New Roman"/>
          <w:sz w:val="24"/>
          <w:szCs w:val="24"/>
          <w:lang w:val="ro-MO"/>
        </w:rPr>
      </w:pPr>
      <w:r w:rsidRPr="004B4C1A">
        <w:rPr>
          <w:rFonts w:ascii="Times New Roman" w:eastAsia="Times New Roman" w:hAnsi="Times New Roman" w:cs="Times New Roman"/>
          <w:sz w:val="24"/>
          <w:szCs w:val="24"/>
          <w:lang w:val="ro-MO"/>
        </w:rPr>
        <w:t>Aceasta u</w:t>
      </w:r>
      <w:r w:rsidR="00B21262" w:rsidRPr="004B4C1A">
        <w:rPr>
          <w:rFonts w:ascii="Times New Roman" w:eastAsia="Times New Roman" w:hAnsi="Times New Roman" w:cs="Times New Roman"/>
          <w:sz w:val="24"/>
          <w:szCs w:val="24"/>
          <w:lang w:val="ro-MO"/>
        </w:rPr>
        <w:t xml:space="preserve">rmează a fi prolulgată </w:t>
      </w:r>
      <w:r w:rsidR="003B0FEA" w:rsidRPr="004B4C1A">
        <w:rPr>
          <w:rFonts w:ascii="Times New Roman" w:eastAsia="Times New Roman" w:hAnsi="Times New Roman" w:cs="Times New Roman"/>
          <w:sz w:val="24"/>
          <w:szCs w:val="24"/>
          <w:lang w:val="ro-MO"/>
        </w:rPr>
        <w:t>prin lege de către Parlamentul Republicii Moldova, pentru intrarea în vigoare</w:t>
      </w:r>
      <w:r w:rsidR="00F55D1C" w:rsidRPr="004B4C1A">
        <w:rPr>
          <w:rFonts w:ascii="Times New Roman" w:eastAsia="Times New Roman" w:hAnsi="Times New Roman" w:cs="Times New Roman"/>
          <w:sz w:val="24"/>
          <w:szCs w:val="24"/>
          <w:lang w:val="ro-MO"/>
        </w:rPr>
        <w:t xml:space="preserve">, potrivit </w:t>
      </w:r>
      <w:r w:rsidR="00661DD4" w:rsidRPr="004B4C1A">
        <w:rPr>
          <w:rFonts w:ascii="Times New Roman" w:eastAsia="Times New Roman" w:hAnsi="Times New Roman" w:cs="Times New Roman"/>
          <w:sz w:val="24"/>
          <w:szCs w:val="24"/>
          <w:lang w:val="ro-MO"/>
        </w:rPr>
        <w:t xml:space="preserve">procedurii prevăzute </w:t>
      </w:r>
      <w:r w:rsidR="00D849BB" w:rsidRPr="004B4C1A">
        <w:rPr>
          <w:rFonts w:ascii="Times New Roman" w:eastAsia="Times New Roman" w:hAnsi="Times New Roman" w:cs="Times New Roman"/>
          <w:sz w:val="24"/>
          <w:szCs w:val="24"/>
          <w:lang w:val="ro-MO"/>
        </w:rPr>
        <w:t>de Legea</w:t>
      </w:r>
      <w:r w:rsidR="00F55D1C" w:rsidRPr="004B4C1A">
        <w:rPr>
          <w:rFonts w:ascii="Times New Roman" w:eastAsia="Times New Roman" w:hAnsi="Times New Roman" w:cs="Times New Roman"/>
          <w:sz w:val="24"/>
          <w:szCs w:val="24"/>
          <w:lang w:val="ro-MO"/>
        </w:rPr>
        <w:t xml:space="preserve"> nr.595 din 24.09.1999 privind tratatele internaționale ale Republicii Moldova</w:t>
      </w:r>
      <w:r w:rsidR="004B4C1A" w:rsidRPr="004B4C1A">
        <w:rPr>
          <w:rFonts w:ascii="Times New Roman" w:eastAsia="Times New Roman" w:hAnsi="Times New Roman" w:cs="Times New Roman"/>
          <w:sz w:val="24"/>
          <w:szCs w:val="24"/>
          <w:lang w:val="ro-MO"/>
        </w:rPr>
        <w:t xml:space="preserve"> și </w:t>
      </w:r>
      <w:r w:rsidR="004B4C1A" w:rsidRPr="004B4C1A">
        <w:rPr>
          <w:rFonts w:ascii="Times New Roman" w:hAnsi="Times New Roman" w:cs="Times New Roman"/>
          <w:color w:val="000000"/>
          <w:sz w:val="24"/>
          <w:szCs w:val="24"/>
          <w:lang w:val="ro-MO"/>
        </w:rPr>
        <w:t>Regulamentul privind mecanismul de încheiere, aplicare și încetare a tratatelor internaționale, aprobat prin Hotărîrea Guvernului nr.442 din 17.07.2015</w:t>
      </w:r>
    </w:p>
    <w:p w:rsidR="003B0FEA" w:rsidRDefault="003B0FEA" w:rsidP="000B5910">
      <w:pPr>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Republica Moldova nu formulează rezerve pe marginea convenției respective.</w:t>
      </w:r>
    </w:p>
    <w:p w:rsidR="003E2D90" w:rsidRDefault="000507C7" w:rsidP="000B5910">
      <w:pPr>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etapa actuală,</w:t>
      </w:r>
      <w:r w:rsidR="003E2D90">
        <w:rPr>
          <w:rFonts w:ascii="Times New Roman" w:eastAsia="Times New Roman" w:hAnsi="Times New Roman" w:cs="Times New Roman"/>
          <w:sz w:val="24"/>
          <w:szCs w:val="24"/>
          <w:lang w:val="ro-RO"/>
        </w:rPr>
        <w:t xml:space="preserve"> state</w:t>
      </w:r>
      <w:r>
        <w:rPr>
          <w:rFonts w:ascii="Times New Roman" w:eastAsia="Times New Roman" w:hAnsi="Times New Roman" w:cs="Times New Roman"/>
          <w:sz w:val="24"/>
          <w:szCs w:val="24"/>
          <w:lang w:val="ro-RO"/>
        </w:rPr>
        <w:t>le</w:t>
      </w:r>
      <w:r w:rsidR="003E2D90">
        <w:rPr>
          <w:rFonts w:ascii="Times New Roman" w:eastAsia="Times New Roman" w:hAnsi="Times New Roman" w:cs="Times New Roman"/>
          <w:sz w:val="24"/>
          <w:szCs w:val="24"/>
          <w:lang w:val="ro-RO"/>
        </w:rPr>
        <w:t xml:space="preserve"> care au semnat convenția sus-menționată</w:t>
      </w:r>
      <w:r w:rsidR="00D11CE0">
        <w:rPr>
          <w:rFonts w:ascii="Times New Roman" w:eastAsia="Times New Roman" w:hAnsi="Times New Roman" w:cs="Times New Roman"/>
          <w:sz w:val="24"/>
          <w:szCs w:val="24"/>
          <w:lang w:val="ro-RO"/>
        </w:rPr>
        <w:t xml:space="preserve"> </w:t>
      </w:r>
      <w:r w:rsidR="003E2D90">
        <w:rPr>
          <w:rFonts w:ascii="Times New Roman" w:eastAsia="Times New Roman" w:hAnsi="Times New Roman" w:cs="Times New Roman"/>
          <w:sz w:val="24"/>
          <w:szCs w:val="24"/>
          <w:lang w:val="ro-RO"/>
        </w:rPr>
        <w:t>elaborează mecanismele juridice necesare pentru ratificarea acesteia.</w:t>
      </w:r>
    </w:p>
    <w:p w:rsidR="00B86B85" w:rsidRPr="00781A67" w:rsidRDefault="004B4C1A" w:rsidP="00781A67">
      <w:pPr>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Concomitent cu</w:t>
      </w:r>
      <w:r w:rsidR="006459D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adoptarea legii privind ratificarea Convenției</w:t>
      </w:r>
      <w:r w:rsidR="001E4633">
        <w:rPr>
          <w:rFonts w:ascii="Times New Roman" w:eastAsia="Times New Roman" w:hAnsi="Times New Roman" w:cs="Times New Roman"/>
          <w:sz w:val="24"/>
          <w:szCs w:val="24"/>
          <w:lang w:val="ro-RO"/>
        </w:rPr>
        <w:t xml:space="preserve"> de către Parlamentul</w:t>
      </w:r>
      <w:r w:rsidR="00781A67">
        <w:rPr>
          <w:rFonts w:ascii="Times New Roman" w:eastAsia="Times New Roman" w:hAnsi="Times New Roman" w:cs="Times New Roman"/>
          <w:sz w:val="24"/>
          <w:szCs w:val="24"/>
          <w:lang w:val="ro-RO"/>
        </w:rPr>
        <w:t xml:space="preserve"> Repăublicii Moldova</w:t>
      </w:r>
      <w:r w:rsidR="00D11CE0">
        <w:rPr>
          <w:rFonts w:ascii="Times New Roman" w:eastAsia="Times New Roman" w:hAnsi="Times New Roman" w:cs="Times New Roman"/>
          <w:sz w:val="24"/>
          <w:szCs w:val="24"/>
          <w:lang w:val="ro-RO"/>
        </w:rPr>
        <w:t>, vor fi</w:t>
      </w:r>
      <w:r w:rsidR="00781A67">
        <w:rPr>
          <w:rFonts w:ascii="Times New Roman" w:eastAsia="Times New Roman" w:hAnsi="Times New Roman" w:cs="Times New Roman"/>
          <w:sz w:val="24"/>
          <w:szCs w:val="24"/>
          <w:lang w:val="ro-RO"/>
        </w:rPr>
        <w:t xml:space="preserve"> </w:t>
      </w:r>
      <w:r w:rsidR="008266DC">
        <w:rPr>
          <w:rFonts w:ascii="Times New Roman" w:eastAsia="Times New Roman" w:hAnsi="Times New Roman" w:cs="Times New Roman"/>
          <w:sz w:val="24"/>
          <w:szCs w:val="24"/>
          <w:lang w:val="ro-RO"/>
        </w:rPr>
        <w:t>aprobate</w:t>
      </w:r>
      <w:r w:rsidR="00781A67">
        <w:rPr>
          <w:rFonts w:ascii="Times New Roman" w:eastAsia="Times New Roman" w:hAnsi="Times New Roman" w:cs="Times New Roman"/>
          <w:sz w:val="24"/>
          <w:szCs w:val="24"/>
          <w:lang w:val="ro-RO"/>
        </w:rPr>
        <w:t xml:space="preserve"> completări </w:t>
      </w:r>
      <w:r w:rsidR="00A96BF9">
        <w:rPr>
          <w:rFonts w:ascii="Times New Roman" w:eastAsia="Times New Roman" w:hAnsi="Times New Roman" w:cs="Times New Roman"/>
          <w:sz w:val="24"/>
          <w:szCs w:val="24"/>
          <w:lang w:val="ro-RO"/>
        </w:rPr>
        <w:t>la Codul Contravențional</w:t>
      </w:r>
      <w:r w:rsidR="008266DC">
        <w:rPr>
          <w:rFonts w:ascii="Times New Roman" w:eastAsia="Times New Roman" w:hAnsi="Times New Roman" w:cs="Times New Roman"/>
          <w:sz w:val="24"/>
          <w:szCs w:val="24"/>
          <w:lang w:val="ro-RO"/>
        </w:rPr>
        <w:t>, în vederea ajustării</w:t>
      </w:r>
      <w:r w:rsidR="00053366">
        <w:rPr>
          <w:rFonts w:ascii="Times New Roman" w:eastAsia="Times New Roman" w:hAnsi="Times New Roman" w:cs="Times New Roman"/>
          <w:sz w:val="24"/>
          <w:szCs w:val="24"/>
          <w:lang w:val="ro-RO"/>
        </w:rPr>
        <w:t xml:space="preserve"> cadrului juridic</w:t>
      </w:r>
      <w:r w:rsidR="008266DC">
        <w:rPr>
          <w:rFonts w:ascii="Times New Roman" w:eastAsia="Times New Roman" w:hAnsi="Times New Roman" w:cs="Times New Roman"/>
          <w:sz w:val="24"/>
          <w:szCs w:val="24"/>
          <w:lang w:val="ro-RO"/>
        </w:rPr>
        <w:t xml:space="preserve"> național</w:t>
      </w:r>
      <w:r w:rsidR="00053366">
        <w:rPr>
          <w:rFonts w:ascii="Times New Roman" w:eastAsia="Times New Roman" w:hAnsi="Times New Roman" w:cs="Times New Roman"/>
          <w:sz w:val="24"/>
          <w:szCs w:val="24"/>
          <w:lang w:val="ro-RO"/>
        </w:rPr>
        <w:t xml:space="preserve"> existent la prevederile tratatului</w:t>
      </w:r>
      <w:r w:rsidR="00781A67">
        <w:rPr>
          <w:rFonts w:ascii="Times New Roman" w:eastAsia="Times New Roman" w:hAnsi="Times New Roman" w:cs="Times New Roman"/>
          <w:sz w:val="24"/>
          <w:szCs w:val="24"/>
          <w:lang w:val="ro-RO"/>
        </w:rPr>
        <w:t xml:space="preserve">.  </w:t>
      </w:r>
      <w:r w:rsidR="001E4633">
        <w:rPr>
          <w:rFonts w:ascii="Times New Roman" w:eastAsia="Times New Roman" w:hAnsi="Times New Roman" w:cs="Times New Roman"/>
          <w:sz w:val="24"/>
          <w:szCs w:val="24"/>
          <w:lang w:val="ro-RO"/>
        </w:rPr>
        <w:t xml:space="preserve">  </w:t>
      </w:r>
    </w:p>
    <w:p w:rsidR="003C5845" w:rsidRPr="000B5910" w:rsidRDefault="00B86B85" w:rsidP="000B5910">
      <w:pPr>
        <w:spacing w:line="240" w:lineRule="auto"/>
        <w:jc w:val="both"/>
        <w:rPr>
          <w:rFonts w:ascii="Times New Roman" w:eastAsia="Times New Roman" w:hAnsi="Times New Roman" w:cs="Times New Roman"/>
          <w:b/>
          <w:sz w:val="26"/>
          <w:szCs w:val="26"/>
          <w:lang w:val="ro-RO"/>
        </w:rPr>
      </w:pPr>
      <w:r w:rsidRPr="000B5910">
        <w:rPr>
          <w:rFonts w:ascii="Times New Roman" w:hAnsi="Times New Roman" w:cs="Times New Roman"/>
          <w:sz w:val="24"/>
          <w:szCs w:val="24"/>
          <w:lang w:val="ro-RO"/>
        </w:rPr>
        <w:t xml:space="preserve">Luînd în considerare cele menţionate, prezentăm spre examinare </w:t>
      </w:r>
      <w:r w:rsidR="001B74D1">
        <w:rPr>
          <w:rFonts w:ascii="Times New Roman" w:hAnsi="Times New Roman" w:cs="Times New Roman"/>
          <w:sz w:val="24"/>
          <w:szCs w:val="24"/>
          <w:lang w:val="ro-RO"/>
        </w:rPr>
        <w:t>proi</w:t>
      </w:r>
      <w:r w:rsidR="007D1C18">
        <w:rPr>
          <w:rFonts w:ascii="Times New Roman" w:hAnsi="Times New Roman" w:cs="Times New Roman"/>
          <w:sz w:val="24"/>
          <w:szCs w:val="24"/>
          <w:lang w:val="ro-RO"/>
        </w:rPr>
        <w:t>ectul Legii cu privire la</w:t>
      </w:r>
      <w:r w:rsidRPr="000B5910">
        <w:rPr>
          <w:rFonts w:ascii="Times New Roman" w:hAnsi="Times New Roman" w:cs="Times New Roman"/>
          <w:sz w:val="24"/>
          <w:szCs w:val="24"/>
          <w:lang w:val="ro-RO"/>
        </w:rPr>
        <w:t xml:space="preserve"> </w:t>
      </w:r>
      <w:r w:rsidR="001B74D1">
        <w:rPr>
          <w:rFonts w:ascii="Times New Roman" w:hAnsi="Times New Roman" w:cs="Times New Roman"/>
          <w:sz w:val="24"/>
          <w:szCs w:val="24"/>
          <w:lang w:val="ro-RO"/>
        </w:rPr>
        <w:t>ratificarea</w:t>
      </w:r>
      <w:r w:rsidRPr="000B5910">
        <w:rPr>
          <w:rFonts w:ascii="Times New Roman" w:hAnsi="Times New Roman" w:cs="Times New Roman"/>
          <w:sz w:val="24"/>
          <w:szCs w:val="24"/>
          <w:lang w:val="ro-RO"/>
        </w:rPr>
        <w:t xml:space="preserve"> Convenţiei</w:t>
      </w:r>
      <w:r w:rsidRPr="000B5910">
        <w:rPr>
          <w:rFonts w:ascii="Times New Roman" w:hAnsi="Times New Roman" w:cs="Times New Roman"/>
          <w:szCs w:val="24"/>
          <w:lang w:val="ro-RO"/>
        </w:rPr>
        <w:t xml:space="preserve"> </w:t>
      </w:r>
      <w:r w:rsidR="00B85E11" w:rsidRPr="000B5910">
        <w:rPr>
          <w:rFonts w:ascii="Times New Roman" w:eastAsia="Times New Roman" w:hAnsi="Times New Roman" w:cs="Times New Roman"/>
          <w:sz w:val="24"/>
          <w:szCs w:val="26"/>
          <w:lang w:val="ro-RO"/>
        </w:rPr>
        <w:t>Consiliului Europei privind abordarea integrată a siguranței, securității și deservirii în timpul meciurilor de fotbal și a altor evenimente sportive</w:t>
      </w:r>
      <w:r w:rsidR="001B74D1">
        <w:rPr>
          <w:rFonts w:ascii="Times New Roman" w:eastAsia="Times New Roman" w:hAnsi="Times New Roman" w:cs="Times New Roman"/>
          <w:sz w:val="24"/>
          <w:szCs w:val="26"/>
          <w:lang w:val="ro-RO"/>
        </w:rPr>
        <w:t xml:space="preserve">, </w:t>
      </w:r>
      <w:r w:rsidR="001B74D1" w:rsidRPr="000B5910">
        <w:rPr>
          <w:rFonts w:ascii="Times New Roman" w:hAnsi="Times New Roman" w:cs="Times New Roman"/>
          <w:sz w:val="24"/>
          <w:szCs w:val="24"/>
          <w:lang w:val="ro-RO"/>
        </w:rPr>
        <w:t>de către Rep</w:t>
      </w:r>
      <w:r w:rsidR="001B74D1">
        <w:rPr>
          <w:rFonts w:ascii="Times New Roman" w:hAnsi="Times New Roman" w:cs="Times New Roman"/>
          <w:sz w:val="24"/>
          <w:szCs w:val="24"/>
          <w:lang w:val="ro-RO"/>
        </w:rPr>
        <w:t>ublica Moldova</w:t>
      </w:r>
      <w:r w:rsidRPr="000B5910">
        <w:rPr>
          <w:rFonts w:ascii="Times New Roman" w:hAnsi="Times New Roman" w:cs="Times New Roman"/>
          <w:sz w:val="24"/>
          <w:szCs w:val="24"/>
          <w:lang w:val="ro-RO"/>
        </w:rPr>
        <w:t>.</w:t>
      </w:r>
    </w:p>
    <w:p w:rsidR="000B5910" w:rsidRDefault="000B5910" w:rsidP="000B5910">
      <w:pPr>
        <w:shd w:val="clear" w:color="auto" w:fill="FFFFFF" w:themeFill="background1"/>
        <w:spacing w:after="0"/>
        <w:rPr>
          <w:rFonts w:ascii="Times New Roman" w:hAnsi="Times New Roman" w:cs="Times New Roman"/>
          <w:b/>
          <w:sz w:val="28"/>
          <w:szCs w:val="28"/>
          <w:lang w:val="ro-RO"/>
        </w:rPr>
      </w:pPr>
    </w:p>
    <w:p w:rsidR="000B5910" w:rsidRDefault="000B5910" w:rsidP="001149AC">
      <w:pPr>
        <w:shd w:val="clear" w:color="auto" w:fill="FFFFFF" w:themeFill="background1"/>
        <w:spacing w:after="0"/>
        <w:ind w:firstLine="567"/>
        <w:rPr>
          <w:rFonts w:ascii="Times New Roman" w:hAnsi="Times New Roman" w:cs="Times New Roman"/>
          <w:b/>
          <w:sz w:val="28"/>
          <w:szCs w:val="28"/>
          <w:lang w:val="ro-RO"/>
        </w:rPr>
      </w:pPr>
    </w:p>
    <w:p w:rsidR="0080723D" w:rsidRPr="0080723D" w:rsidRDefault="0080723D" w:rsidP="001149AC">
      <w:pPr>
        <w:shd w:val="clear" w:color="auto" w:fill="FFFFFF" w:themeFill="background1"/>
        <w:spacing w:after="0"/>
        <w:ind w:firstLine="567"/>
        <w:rPr>
          <w:rFonts w:ascii="Times New Roman" w:hAnsi="Times New Roman" w:cs="Times New Roman"/>
          <w:b/>
          <w:sz w:val="28"/>
          <w:szCs w:val="28"/>
          <w:lang w:val="ro-RO"/>
        </w:rPr>
      </w:pPr>
      <w:r w:rsidRPr="00AD4AC5">
        <w:rPr>
          <w:rFonts w:ascii="Times New Roman" w:hAnsi="Times New Roman" w:cs="Times New Roman"/>
          <w:b/>
          <w:sz w:val="28"/>
          <w:szCs w:val="28"/>
          <w:lang w:val="ro-RO"/>
        </w:rPr>
        <w:t>Ministru</w:t>
      </w:r>
      <w:r>
        <w:rPr>
          <w:rFonts w:ascii="Times New Roman" w:hAnsi="Times New Roman" w:cs="Times New Roman"/>
          <w:b/>
          <w:sz w:val="28"/>
          <w:szCs w:val="28"/>
          <w:lang w:val="ro-RO"/>
        </w:rPr>
        <w:t xml:space="preserve">                                                      </w:t>
      </w:r>
      <w:r w:rsidR="001149AC">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80723D">
        <w:rPr>
          <w:rFonts w:ascii="Times New Roman" w:hAnsi="Times New Roman" w:cs="Times New Roman"/>
          <w:b/>
          <w:sz w:val="28"/>
          <w:szCs w:val="28"/>
          <w:lang w:val="ro-RO"/>
        </w:rPr>
        <w:t xml:space="preserve"> </w:t>
      </w:r>
      <w:r w:rsidR="004347E1">
        <w:rPr>
          <w:rFonts w:ascii="Times New Roman" w:hAnsi="Times New Roman" w:cs="Times New Roman"/>
          <w:b/>
          <w:sz w:val="28"/>
          <w:szCs w:val="28"/>
          <w:lang w:val="ro-RO"/>
        </w:rPr>
        <w:t xml:space="preserve">              </w:t>
      </w:r>
      <w:r w:rsidRPr="00AD4AC5">
        <w:rPr>
          <w:rFonts w:ascii="Times New Roman" w:hAnsi="Times New Roman" w:cs="Times New Roman"/>
          <w:b/>
          <w:sz w:val="28"/>
          <w:szCs w:val="28"/>
          <w:lang w:val="ro-RO"/>
        </w:rPr>
        <w:t>Victor ZUBCU</w:t>
      </w:r>
    </w:p>
    <w:p w:rsidR="0080723D" w:rsidRPr="0080723D" w:rsidRDefault="0080723D">
      <w:pPr>
        <w:shd w:val="clear" w:color="auto" w:fill="FFFFFF" w:themeFill="background1"/>
        <w:spacing w:after="0"/>
        <w:jc w:val="center"/>
        <w:rPr>
          <w:rFonts w:ascii="Times New Roman" w:hAnsi="Times New Roman" w:cs="Times New Roman"/>
          <w:b/>
          <w:sz w:val="28"/>
          <w:szCs w:val="28"/>
          <w:lang w:val="ro-RO"/>
        </w:rPr>
      </w:pPr>
    </w:p>
    <w:sectPr w:rsidR="0080723D" w:rsidRPr="0080723D" w:rsidSect="00CB29AC">
      <w:pgSz w:w="11906" w:h="16838"/>
      <w:pgMar w:top="28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731"/>
    <w:multiLevelType w:val="hybridMultilevel"/>
    <w:tmpl w:val="48185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D76368"/>
    <w:multiLevelType w:val="hybridMultilevel"/>
    <w:tmpl w:val="C4B03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5E15A9"/>
    <w:multiLevelType w:val="hybridMultilevel"/>
    <w:tmpl w:val="1D44F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214FD2"/>
    <w:multiLevelType w:val="hybridMultilevel"/>
    <w:tmpl w:val="71568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2C05C6"/>
    <w:multiLevelType w:val="hybridMultilevel"/>
    <w:tmpl w:val="E6FC0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3E2DE7"/>
    <w:multiLevelType w:val="hybridMultilevel"/>
    <w:tmpl w:val="B9D80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353566"/>
    <w:multiLevelType w:val="hybridMultilevel"/>
    <w:tmpl w:val="710E83A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61C0B01"/>
    <w:multiLevelType w:val="hybridMultilevel"/>
    <w:tmpl w:val="CBAC4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BE2A22"/>
    <w:multiLevelType w:val="hybridMultilevel"/>
    <w:tmpl w:val="1786C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69258D"/>
    <w:multiLevelType w:val="hybridMultilevel"/>
    <w:tmpl w:val="0C509A6A"/>
    <w:lvl w:ilvl="0" w:tplc="0419000F">
      <w:start w:val="1"/>
      <w:numFmt w:val="decimal"/>
      <w:lvlText w:val="%1."/>
      <w:lvlJc w:val="left"/>
      <w:pPr>
        <w:ind w:left="720" w:hanging="360"/>
      </w:pPr>
    </w:lvl>
    <w:lvl w:ilvl="1" w:tplc="C5E6C2B2">
      <w:numFmt w:val="bullet"/>
      <w:lvlText w:val="-"/>
      <w:lvlJc w:val="left"/>
      <w:pPr>
        <w:ind w:left="1440" w:hanging="360"/>
      </w:pPr>
      <w:rPr>
        <w:rFonts w:ascii="Times New Roman" w:eastAsiaTheme="minorHAnsi" w:hAnsi="Times New Roman" w:cs="Times New Roman" w:hint="default"/>
      </w:rPr>
    </w:lvl>
    <w:lvl w:ilvl="2" w:tplc="58D8E64A">
      <w:numFmt w:val="bullet"/>
      <w:lvlText w:val=""/>
      <w:lvlJc w:val="left"/>
      <w:pPr>
        <w:ind w:left="2340" w:hanging="360"/>
      </w:pPr>
      <w:rPr>
        <w:rFonts w:ascii="Times New Roman" w:eastAsiaTheme="minorHAns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0"/>
  </w:num>
  <w:num w:numId="5">
    <w:abstractNumId w:val="8"/>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280E64"/>
    <w:rsid w:val="0000646B"/>
    <w:rsid w:val="00026C5C"/>
    <w:rsid w:val="000507C7"/>
    <w:rsid w:val="00053366"/>
    <w:rsid w:val="00075BCB"/>
    <w:rsid w:val="000B5910"/>
    <w:rsid w:val="000D05A9"/>
    <w:rsid w:val="000D440E"/>
    <w:rsid w:val="00112148"/>
    <w:rsid w:val="001149AC"/>
    <w:rsid w:val="001B74D1"/>
    <w:rsid w:val="001E4633"/>
    <w:rsid w:val="00211A74"/>
    <w:rsid w:val="00280E64"/>
    <w:rsid w:val="002F1F87"/>
    <w:rsid w:val="002F691A"/>
    <w:rsid w:val="003155D4"/>
    <w:rsid w:val="003A0F71"/>
    <w:rsid w:val="003B0483"/>
    <w:rsid w:val="003B0FEA"/>
    <w:rsid w:val="003C5845"/>
    <w:rsid w:val="003E2D90"/>
    <w:rsid w:val="004207F0"/>
    <w:rsid w:val="00421024"/>
    <w:rsid w:val="00425C08"/>
    <w:rsid w:val="004347E1"/>
    <w:rsid w:val="004566BE"/>
    <w:rsid w:val="004718A2"/>
    <w:rsid w:val="00486525"/>
    <w:rsid w:val="004B4C1A"/>
    <w:rsid w:val="0062462A"/>
    <w:rsid w:val="006459DE"/>
    <w:rsid w:val="00661DD4"/>
    <w:rsid w:val="00671DB3"/>
    <w:rsid w:val="00672265"/>
    <w:rsid w:val="0068532D"/>
    <w:rsid w:val="006D74CF"/>
    <w:rsid w:val="00736A1A"/>
    <w:rsid w:val="00744174"/>
    <w:rsid w:val="00781A67"/>
    <w:rsid w:val="007C2C42"/>
    <w:rsid w:val="007D1C18"/>
    <w:rsid w:val="007D5554"/>
    <w:rsid w:val="007D6CC4"/>
    <w:rsid w:val="007E06BD"/>
    <w:rsid w:val="007F4F15"/>
    <w:rsid w:val="007F74FB"/>
    <w:rsid w:val="0080723D"/>
    <w:rsid w:val="008266DC"/>
    <w:rsid w:val="00830DFF"/>
    <w:rsid w:val="00852CE7"/>
    <w:rsid w:val="008A7B84"/>
    <w:rsid w:val="008F4AB6"/>
    <w:rsid w:val="00904BFF"/>
    <w:rsid w:val="0096721B"/>
    <w:rsid w:val="00981265"/>
    <w:rsid w:val="009A005F"/>
    <w:rsid w:val="009F08F2"/>
    <w:rsid w:val="00A1717E"/>
    <w:rsid w:val="00A218B4"/>
    <w:rsid w:val="00A71400"/>
    <w:rsid w:val="00A96BF9"/>
    <w:rsid w:val="00AB382E"/>
    <w:rsid w:val="00AD2DDB"/>
    <w:rsid w:val="00AD4AC5"/>
    <w:rsid w:val="00AD67E7"/>
    <w:rsid w:val="00B21262"/>
    <w:rsid w:val="00B85E11"/>
    <w:rsid w:val="00B86B85"/>
    <w:rsid w:val="00BC69BD"/>
    <w:rsid w:val="00C26243"/>
    <w:rsid w:val="00C97D04"/>
    <w:rsid w:val="00CB29AC"/>
    <w:rsid w:val="00CD79F4"/>
    <w:rsid w:val="00CF31DE"/>
    <w:rsid w:val="00D11CE0"/>
    <w:rsid w:val="00D247D2"/>
    <w:rsid w:val="00D31CE7"/>
    <w:rsid w:val="00D849BB"/>
    <w:rsid w:val="00DA3ACD"/>
    <w:rsid w:val="00E0001D"/>
    <w:rsid w:val="00E27B48"/>
    <w:rsid w:val="00E96EA1"/>
    <w:rsid w:val="00EC4C02"/>
    <w:rsid w:val="00EE4C93"/>
    <w:rsid w:val="00F00B1A"/>
    <w:rsid w:val="00F20A54"/>
    <w:rsid w:val="00F55D1C"/>
    <w:rsid w:val="00FD2406"/>
    <w:rsid w:val="00FF6FC4"/>
    <w:rsid w:val="00FF7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B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86B85"/>
    <w:pPr>
      <w:ind w:left="720"/>
      <w:contextualSpacing/>
    </w:pPr>
  </w:style>
  <w:style w:type="character" w:styleId="a5">
    <w:name w:val="Intense Emphasis"/>
    <w:basedOn w:val="a0"/>
    <w:uiPriority w:val="21"/>
    <w:qFormat/>
    <w:rsid w:val="009A005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86B85"/>
    <w:pPr>
      <w:ind w:left="720"/>
      <w:contextualSpacing/>
    </w:pPr>
  </w:style>
</w:styles>
</file>

<file path=word/webSettings.xml><?xml version="1.0" encoding="utf-8"?>
<w:webSettings xmlns:r="http://schemas.openxmlformats.org/officeDocument/2006/relationships" xmlns:w="http://schemas.openxmlformats.org/wordprocessingml/2006/main">
  <w:divs>
    <w:div w:id="7918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3810-EB27-46A7-8D1D-13C9BDD6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2093</Words>
  <Characters>11931</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61</cp:revision>
  <cp:lastPrinted>2016-10-28T11:21:00Z</cp:lastPrinted>
  <dcterms:created xsi:type="dcterms:W3CDTF">2016-06-10T05:49:00Z</dcterms:created>
  <dcterms:modified xsi:type="dcterms:W3CDTF">2017-03-01T07:22:00Z</dcterms:modified>
</cp:coreProperties>
</file>